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5BFEBA">
      <w:pPr>
        <w:snapToGrid w:val="0"/>
        <w:spacing w:line="560"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b/>
          <w:bCs/>
          <w:color w:val="000000"/>
          <w:sz w:val="32"/>
          <w:szCs w:val="32"/>
        </w:rPr>
        <w:t>2026</w:t>
      </w:r>
      <w:r>
        <w:rPr>
          <w:rFonts w:hint="default" w:ascii="Times New Roman" w:hAnsi="Times New Roman" w:eastAsia="方正小标宋简体" w:cs="Times New Roman"/>
          <w:color w:val="000000"/>
          <w:sz w:val="32"/>
          <w:szCs w:val="32"/>
        </w:rPr>
        <w:t>年北京市学生用品产品质量监督抽查实施细则</w:t>
      </w:r>
    </w:p>
    <w:p w14:paraId="2322A739">
      <w:pPr>
        <w:spacing w:line="240" w:lineRule="auto"/>
        <w:ind w:firstLine="440" w:firstLineChars="200"/>
        <w:rPr>
          <w:rFonts w:hint="default" w:ascii="Times New Roman" w:hAnsi="Times New Roman" w:eastAsia="宋体" w:cs="Times New Roman"/>
          <w:sz w:val="22"/>
          <w:szCs w:val="28"/>
        </w:rPr>
      </w:pPr>
    </w:p>
    <w:p w14:paraId="6D480763">
      <w:pPr>
        <w:spacing w:line="520" w:lineRule="exact"/>
        <w:rPr>
          <w:rFonts w:hint="default" w:ascii="Times New Roman" w:hAnsi="Times New Roman" w:eastAsia="黑体" w:cs="Times New Roman"/>
          <w:sz w:val="22"/>
          <w:szCs w:val="28"/>
        </w:rPr>
      </w:pPr>
      <w:r>
        <w:rPr>
          <w:rFonts w:hint="default" w:ascii="Times New Roman" w:hAnsi="Times New Roman" w:eastAsia="黑体" w:cs="Times New Roman"/>
          <w:sz w:val="22"/>
          <w:szCs w:val="28"/>
        </w:rPr>
        <w:t>1 抽样方法</w:t>
      </w:r>
    </w:p>
    <w:p w14:paraId="46EB0EF8">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以随机抽样的方式在被抽样生产者、销售者的待销产品中抽取。</w:t>
      </w:r>
    </w:p>
    <w:p w14:paraId="237FF9DB">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随机数一般可使用随机数表等方法产生。</w:t>
      </w:r>
    </w:p>
    <w:p w14:paraId="29F2F446">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抽样基数满足抽样数量即可，抽取样品数量见下表：</w:t>
      </w:r>
    </w:p>
    <w:p w14:paraId="10D9F463">
      <w:pPr>
        <w:spacing w:line="520" w:lineRule="exact"/>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 xml:space="preserve">表1 </w:t>
      </w:r>
      <w:r>
        <w:rPr>
          <w:rFonts w:hint="default" w:ascii="Times New Roman" w:hAnsi="Times New Roman" w:eastAsia="宋体" w:cs="Times New Roman"/>
          <w:sz w:val="22"/>
          <w:szCs w:val="28"/>
          <w:lang w:val="en-US" w:eastAsia="zh-CN"/>
        </w:rPr>
        <w:t>学生文具产品</w:t>
      </w:r>
      <w:r>
        <w:rPr>
          <w:rFonts w:hint="default" w:ascii="Times New Roman" w:hAnsi="Times New Roman" w:eastAsia="宋体" w:cs="Times New Roman"/>
          <w:sz w:val="22"/>
          <w:szCs w:val="28"/>
        </w:rPr>
        <w:t>抽取样品数量</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3238"/>
        <w:gridCol w:w="1518"/>
        <w:gridCol w:w="1831"/>
        <w:gridCol w:w="1761"/>
      </w:tblGrid>
      <w:tr w14:paraId="3DF9B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91" w:type="pct"/>
            <w:vAlign w:val="center"/>
          </w:tcPr>
          <w:p w14:paraId="78FC317C">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序号</w:t>
            </w:r>
          </w:p>
        </w:tc>
        <w:tc>
          <w:tcPr>
            <w:tcW w:w="1788" w:type="pct"/>
            <w:vAlign w:val="center"/>
          </w:tcPr>
          <w:p w14:paraId="77B4B9F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产品种类</w:t>
            </w:r>
          </w:p>
        </w:tc>
        <w:tc>
          <w:tcPr>
            <w:tcW w:w="838" w:type="pct"/>
            <w:vAlign w:val="center"/>
          </w:tcPr>
          <w:p w14:paraId="3300BAC5">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抽样数量</w:t>
            </w:r>
          </w:p>
        </w:tc>
        <w:tc>
          <w:tcPr>
            <w:tcW w:w="1011" w:type="pct"/>
            <w:vAlign w:val="center"/>
          </w:tcPr>
          <w:p w14:paraId="7BF0072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检验样品数量</w:t>
            </w:r>
          </w:p>
        </w:tc>
        <w:tc>
          <w:tcPr>
            <w:tcW w:w="970" w:type="pct"/>
            <w:vAlign w:val="center"/>
          </w:tcPr>
          <w:p w14:paraId="7246496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备用样品数量</w:t>
            </w:r>
          </w:p>
        </w:tc>
      </w:tr>
      <w:tr w14:paraId="06FD9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91" w:type="pct"/>
            <w:vAlign w:val="center"/>
          </w:tcPr>
          <w:p w14:paraId="5D1CB285">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w:t>
            </w:r>
          </w:p>
        </w:tc>
        <w:tc>
          <w:tcPr>
            <w:tcW w:w="1788" w:type="pct"/>
            <w:vAlign w:val="center"/>
          </w:tcPr>
          <w:p w14:paraId="0C60BDD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修正带</w:t>
            </w:r>
          </w:p>
        </w:tc>
        <w:tc>
          <w:tcPr>
            <w:tcW w:w="838" w:type="pct"/>
            <w:vAlign w:val="center"/>
          </w:tcPr>
          <w:p w14:paraId="62EEB25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60米</w:t>
            </w:r>
          </w:p>
        </w:tc>
        <w:tc>
          <w:tcPr>
            <w:tcW w:w="1011" w:type="pct"/>
            <w:vAlign w:val="center"/>
          </w:tcPr>
          <w:p w14:paraId="6B725DF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30米</w:t>
            </w:r>
          </w:p>
        </w:tc>
        <w:tc>
          <w:tcPr>
            <w:tcW w:w="970" w:type="pct"/>
            <w:vAlign w:val="center"/>
          </w:tcPr>
          <w:p w14:paraId="7F6B02D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30米</w:t>
            </w:r>
          </w:p>
        </w:tc>
      </w:tr>
      <w:tr w14:paraId="6E18F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91" w:type="pct"/>
            <w:vAlign w:val="center"/>
          </w:tcPr>
          <w:p w14:paraId="043077C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w:t>
            </w:r>
          </w:p>
        </w:tc>
        <w:tc>
          <w:tcPr>
            <w:tcW w:w="1788" w:type="pct"/>
            <w:vAlign w:val="center"/>
          </w:tcPr>
          <w:p w14:paraId="7A17FE71">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修正液</w:t>
            </w:r>
          </w:p>
        </w:tc>
        <w:tc>
          <w:tcPr>
            <w:tcW w:w="838" w:type="pct"/>
            <w:vAlign w:val="center"/>
          </w:tcPr>
          <w:p w14:paraId="32AA5364">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3件</w:t>
            </w:r>
          </w:p>
        </w:tc>
        <w:tc>
          <w:tcPr>
            <w:tcW w:w="1011" w:type="pct"/>
            <w:vAlign w:val="center"/>
          </w:tcPr>
          <w:p w14:paraId="3E0FB7CC">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2件</w:t>
            </w:r>
          </w:p>
        </w:tc>
        <w:tc>
          <w:tcPr>
            <w:tcW w:w="970" w:type="pct"/>
            <w:vAlign w:val="center"/>
          </w:tcPr>
          <w:p w14:paraId="5493A77F">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1件</w:t>
            </w:r>
          </w:p>
        </w:tc>
      </w:tr>
      <w:tr w14:paraId="01DDB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91" w:type="pct"/>
            <w:vAlign w:val="center"/>
          </w:tcPr>
          <w:p w14:paraId="00D55DE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w:t>
            </w:r>
          </w:p>
        </w:tc>
        <w:tc>
          <w:tcPr>
            <w:tcW w:w="1788" w:type="pct"/>
            <w:vAlign w:val="center"/>
          </w:tcPr>
          <w:p w14:paraId="08ADC36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修正笔</w:t>
            </w:r>
          </w:p>
        </w:tc>
        <w:tc>
          <w:tcPr>
            <w:tcW w:w="838" w:type="pct"/>
            <w:vAlign w:val="center"/>
          </w:tcPr>
          <w:p w14:paraId="4195956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20支</w:t>
            </w:r>
          </w:p>
        </w:tc>
        <w:tc>
          <w:tcPr>
            <w:tcW w:w="1011" w:type="pct"/>
            <w:vAlign w:val="center"/>
          </w:tcPr>
          <w:p w14:paraId="43457CA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10支</w:t>
            </w:r>
          </w:p>
        </w:tc>
        <w:tc>
          <w:tcPr>
            <w:tcW w:w="970" w:type="pct"/>
            <w:vAlign w:val="center"/>
          </w:tcPr>
          <w:p w14:paraId="154D6C5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10支</w:t>
            </w:r>
          </w:p>
        </w:tc>
      </w:tr>
      <w:tr w14:paraId="2EE8B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91" w:type="pct"/>
            <w:vAlign w:val="center"/>
          </w:tcPr>
          <w:p w14:paraId="403BB29F">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4</w:t>
            </w:r>
          </w:p>
        </w:tc>
        <w:tc>
          <w:tcPr>
            <w:tcW w:w="1788" w:type="pct"/>
            <w:vAlign w:val="center"/>
          </w:tcPr>
          <w:p w14:paraId="5BBC4A20">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液体胶、固体胶</w:t>
            </w:r>
          </w:p>
        </w:tc>
        <w:tc>
          <w:tcPr>
            <w:tcW w:w="838" w:type="pct"/>
            <w:vAlign w:val="center"/>
          </w:tcPr>
          <w:p w14:paraId="03F72E5C">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3件</w:t>
            </w:r>
          </w:p>
        </w:tc>
        <w:tc>
          <w:tcPr>
            <w:tcW w:w="1011" w:type="pct"/>
            <w:vAlign w:val="center"/>
          </w:tcPr>
          <w:p w14:paraId="6B099DAF">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2件</w:t>
            </w:r>
          </w:p>
        </w:tc>
        <w:tc>
          <w:tcPr>
            <w:tcW w:w="970" w:type="pct"/>
            <w:vAlign w:val="center"/>
          </w:tcPr>
          <w:p w14:paraId="55543D1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1件</w:t>
            </w:r>
          </w:p>
        </w:tc>
      </w:tr>
      <w:tr w14:paraId="2C229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91" w:type="pct"/>
            <w:vAlign w:val="center"/>
          </w:tcPr>
          <w:p w14:paraId="53FDB5E5">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5</w:t>
            </w:r>
          </w:p>
        </w:tc>
        <w:tc>
          <w:tcPr>
            <w:tcW w:w="1788" w:type="pct"/>
            <w:vAlign w:val="center"/>
          </w:tcPr>
          <w:p w14:paraId="4F82237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课业簿册</w:t>
            </w:r>
          </w:p>
        </w:tc>
        <w:tc>
          <w:tcPr>
            <w:tcW w:w="838" w:type="pct"/>
            <w:vAlign w:val="center"/>
          </w:tcPr>
          <w:p w14:paraId="1D3A8F0B">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3个</w:t>
            </w:r>
          </w:p>
        </w:tc>
        <w:tc>
          <w:tcPr>
            <w:tcW w:w="1011" w:type="pct"/>
            <w:vAlign w:val="center"/>
          </w:tcPr>
          <w:p w14:paraId="63A5DC66">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2个</w:t>
            </w:r>
          </w:p>
        </w:tc>
        <w:tc>
          <w:tcPr>
            <w:tcW w:w="970" w:type="pct"/>
            <w:vAlign w:val="center"/>
          </w:tcPr>
          <w:p w14:paraId="21E31D0F">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1个</w:t>
            </w:r>
          </w:p>
        </w:tc>
      </w:tr>
      <w:tr w14:paraId="2404C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91" w:type="pct"/>
            <w:vAlign w:val="center"/>
          </w:tcPr>
          <w:p w14:paraId="419A179C">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6</w:t>
            </w:r>
          </w:p>
        </w:tc>
        <w:tc>
          <w:tcPr>
            <w:tcW w:w="1788" w:type="pct"/>
            <w:vAlign w:val="center"/>
          </w:tcPr>
          <w:p w14:paraId="28540061">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卷笔刀、绘图仪尺、文具剪刀、学生圆规、文具盒、手动削笔机、美工刀</w:t>
            </w:r>
          </w:p>
        </w:tc>
        <w:tc>
          <w:tcPr>
            <w:tcW w:w="838" w:type="pct"/>
            <w:vAlign w:val="center"/>
          </w:tcPr>
          <w:p w14:paraId="22ED1BC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2件</w:t>
            </w:r>
          </w:p>
        </w:tc>
        <w:tc>
          <w:tcPr>
            <w:tcW w:w="1011" w:type="pct"/>
            <w:vAlign w:val="center"/>
          </w:tcPr>
          <w:p w14:paraId="70DA806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1件</w:t>
            </w:r>
          </w:p>
        </w:tc>
        <w:tc>
          <w:tcPr>
            <w:tcW w:w="970" w:type="pct"/>
            <w:vAlign w:val="center"/>
          </w:tcPr>
          <w:p w14:paraId="6430167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1件</w:t>
            </w:r>
          </w:p>
        </w:tc>
      </w:tr>
      <w:tr w14:paraId="2B159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91" w:type="pct"/>
            <w:vAlign w:val="center"/>
          </w:tcPr>
          <w:p w14:paraId="6B1CEFA7">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7</w:t>
            </w:r>
          </w:p>
        </w:tc>
        <w:tc>
          <w:tcPr>
            <w:tcW w:w="1788" w:type="pct"/>
            <w:vAlign w:val="center"/>
          </w:tcPr>
          <w:p w14:paraId="7620EB31">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蜡笔、油画棒、水彩画颜料</w:t>
            </w:r>
          </w:p>
        </w:tc>
        <w:tc>
          <w:tcPr>
            <w:tcW w:w="838" w:type="pct"/>
            <w:vAlign w:val="center"/>
          </w:tcPr>
          <w:p w14:paraId="12F5FEE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2盒</w:t>
            </w:r>
          </w:p>
        </w:tc>
        <w:tc>
          <w:tcPr>
            <w:tcW w:w="1011" w:type="pct"/>
            <w:vAlign w:val="center"/>
          </w:tcPr>
          <w:p w14:paraId="2CDDE82A">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1盒</w:t>
            </w:r>
          </w:p>
        </w:tc>
        <w:tc>
          <w:tcPr>
            <w:tcW w:w="970" w:type="pct"/>
            <w:vAlign w:val="center"/>
          </w:tcPr>
          <w:p w14:paraId="4DF04BD4">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1盒</w:t>
            </w:r>
          </w:p>
        </w:tc>
      </w:tr>
      <w:tr w14:paraId="43A4C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91" w:type="pct"/>
            <w:vAlign w:val="center"/>
          </w:tcPr>
          <w:p w14:paraId="1F8BC4A0">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8</w:t>
            </w:r>
          </w:p>
        </w:tc>
        <w:tc>
          <w:tcPr>
            <w:tcW w:w="1788" w:type="pct"/>
            <w:vAlign w:val="center"/>
          </w:tcPr>
          <w:p w14:paraId="44153A8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橡皮擦、墨水、书套</w:t>
            </w:r>
          </w:p>
        </w:tc>
        <w:tc>
          <w:tcPr>
            <w:tcW w:w="838" w:type="pct"/>
            <w:vAlign w:val="center"/>
          </w:tcPr>
          <w:p w14:paraId="76283B9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3件</w:t>
            </w:r>
          </w:p>
        </w:tc>
        <w:tc>
          <w:tcPr>
            <w:tcW w:w="1011" w:type="pct"/>
            <w:vAlign w:val="center"/>
          </w:tcPr>
          <w:p w14:paraId="0ADB09BD">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2件</w:t>
            </w:r>
          </w:p>
        </w:tc>
        <w:tc>
          <w:tcPr>
            <w:tcW w:w="970" w:type="pct"/>
            <w:vAlign w:val="center"/>
          </w:tcPr>
          <w:p w14:paraId="0BC3F98B">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1件</w:t>
            </w:r>
          </w:p>
        </w:tc>
      </w:tr>
      <w:tr w14:paraId="55AD0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91" w:type="pct"/>
            <w:vAlign w:val="center"/>
          </w:tcPr>
          <w:p w14:paraId="7C209EC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9</w:t>
            </w:r>
          </w:p>
        </w:tc>
        <w:tc>
          <w:tcPr>
            <w:tcW w:w="1788" w:type="pct"/>
            <w:vAlign w:val="center"/>
          </w:tcPr>
          <w:p w14:paraId="683EC47D">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铅芯</w:t>
            </w:r>
          </w:p>
        </w:tc>
        <w:tc>
          <w:tcPr>
            <w:tcW w:w="838" w:type="pct"/>
            <w:vAlign w:val="center"/>
          </w:tcPr>
          <w:p w14:paraId="51046E7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3盒</w:t>
            </w:r>
          </w:p>
        </w:tc>
        <w:tc>
          <w:tcPr>
            <w:tcW w:w="1011" w:type="pct"/>
            <w:vAlign w:val="center"/>
          </w:tcPr>
          <w:p w14:paraId="7A6D235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2盒</w:t>
            </w:r>
          </w:p>
        </w:tc>
        <w:tc>
          <w:tcPr>
            <w:tcW w:w="970" w:type="pct"/>
            <w:vAlign w:val="center"/>
          </w:tcPr>
          <w:p w14:paraId="61819414">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1盒</w:t>
            </w:r>
          </w:p>
        </w:tc>
      </w:tr>
      <w:tr w14:paraId="7EABB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91" w:type="pct"/>
            <w:vAlign w:val="center"/>
          </w:tcPr>
          <w:p w14:paraId="0992084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10</w:t>
            </w:r>
          </w:p>
        </w:tc>
        <w:tc>
          <w:tcPr>
            <w:tcW w:w="1788" w:type="pct"/>
            <w:vAlign w:val="center"/>
          </w:tcPr>
          <w:p w14:paraId="35EEA16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彩泥</w:t>
            </w:r>
          </w:p>
        </w:tc>
        <w:tc>
          <w:tcPr>
            <w:tcW w:w="838" w:type="pct"/>
            <w:vAlign w:val="center"/>
          </w:tcPr>
          <w:p w14:paraId="31319E65">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3件</w:t>
            </w:r>
          </w:p>
        </w:tc>
        <w:tc>
          <w:tcPr>
            <w:tcW w:w="1011" w:type="pct"/>
            <w:vAlign w:val="center"/>
          </w:tcPr>
          <w:p w14:paraId="733C8FA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2件</w:t>
            </w:r>
          </w:p>
        </w:tc>
        <w:tc>
          <w:tcPr>
            <w:tcW w:w="970" w:type="pct"/>
            <w:vAlign w:val="center"/>
          </w:tcPr>
          <w:p w14:paraId="729D9EAB">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1件</w:t>
            </w:r>
          </w:p>
        </w:tc>
      </w:tr>
      <w:tr w14:paraId="160D4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91" w:type="pct"/>
            <w:vAlign w:val="center"/>
          </w:tcPr>
          <w:p w14:paraId="213FABA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11</w:t>
            </w:r>
          </w:p>
        </w:tc>
        <w:tc>
          <w:tcPr>
            <w:tcW w:w="1788" w:type="pct"/>
            <w:vAlign w:val="center"/>
          </w:tcPr>
          <w:p w14:paraId="06BDC64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记号笔、水彩笔、自来水笔、油墨圆珠笔、中性墨水圆珠笔、水性墨水圆珠笔、白板笔、荧光笔、铅笔</w:t>
            </w:r>
          </w:p>
        </w:tc>
        <w:tc>
          <w:tcPr>
            <w:tcW w:w="838" w:type="pct"/>
            <w:vAlign w:val="center"/>
          </w:tcPr>
          <w:p w14:paraId="2BFF39A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20支</w:t>
            </w:r>
          </w:p>
        </w:tc>
        <w:tc>
          <w:tcPr>
            <w:tcW w:w="1011" w:type="pct"/>
            <w:vAlign w:val="center"/>
          </w:tcPr>
          <w:p w14:paraId="399A7F13">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10支</w:t>
            </w:r>
          </w:p>
        </w:tc>
        <w:tc>
          <w:tcPr>
            <w:tcW w:w="970" w:type="pct"/>
            <w:vAlign w:val="center"/>
          </w:tcPr>
          <w:p w14:paraId="58B647F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10支</w:t>
            </w:r>
          </w:p>
        </w:tc>
      </w:tr>
      <w:tr w14:paraId="6E0B7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5000" w:type="pct"/>
            <w:gridSpan w:val="5"/>
            <w:vAlign w:val="center"/>
          </w:tcPr>
          <w:p w14:paraId="3B7B22AC">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注：如样品面积过小，可适当增加抽样数量，不得超过检验、复检的合理需要。</w:t>
            </w:r>
          </w:p>
        </w:tc>
      </w:tr>
    </w:tbl>
    <w:p w14:paraId="698184EC">
      <w:pPr>
        <w:jc w:val="center"/>
        <w:rPr>
          <w:rFonts w:hint="default" w:ascii="Times New Roman" w:hAnsi="Times New Roman" w:eastAsia="宋体" w:cs="Times New Roman"/>
          <w:sz w:val="22"/>
          <w:szCs w:val="28"/>
        </w:rPr>
      </w:pPr>
    </w:p>
    <w:p w14:paraId="6223AB2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表2 学生书包产品抽取样品数量</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2070"/>
        <w:gridCol w:w="2485"/>
        <w:gridCol w:w="1895"/>
        <w:gridCol w:w="1899"/>
      </w:tblGrid>
      <w:tr w14:paraId="0E5AF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91" w:type="pct"/>
            <w:vAlign w:val="center"/>
          </w:tcPr>
          <w:p w14:paraId="50B45A11">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序号</w:t>
            </w:r>
          </w:p>
        </w:tc>
        <w:tc>
          <w:tcPr>
            <w:tcW w:w="1143" w:type="pct"/>
            <w:vAlign w:val="center"/>
          </w:tcPr>
          <w:p w14:paraId="3DBA56D1">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产品种类</w:t>
            </w:r>
          </w:p>
        </w:tc>
        <w:tc>
          <w:tcPr>
            <w:tcW w:w="1372" w:type="pct"/>
            <w:vAlign w:val="center"/>
          </w:tcPr>
          <w:p w14:paraId="2399FA5A">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抽样数量</w:t>
            </w:r>
          </w:p>
        </w:tc>
        <w:tc>
          <w:tcPr>
            <w:tcW w:w="1046" w:type="pct"/>
            <w:vAlign w:val="center"/>
          </w:tcPr>
          <w:p w14:paraId="4C21D9D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检验样品数量</w:t>
            </w:r>
          </w:p>
        </w:tc>
        <w:tc>
          <w:tcPr>
            <w:tcW w:w="1046" w:type="pct"/>
            <w:vAlign w:val="center"/>
          </w:tcPr>
          <w:p w14:paraId="48753BA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备用样品数量</w:t>
            </w:r>
          </w:p>
        </w:tc>
      </w:tr>
      <w:tr w14:paraId="2946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91" w:type="pct"/>
            <w:vAlign w:val="center"/>
          </w:tcPr>
          <w:p w14:paraId="52FF82F1">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w:t>
            </w:r>
          </w:p>
        </w:tc>
        <w:tc>
          <w:tcPr>
            <w:tcW w:w="1143" w:type="pct"/>
            <w:vAlign w:val="center"/>
          </w:tcPr>
          <w:p w14:paraId="4ED28C8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笔袋</w:t>
            </w:r>
          </w:p>
        </w:tc>
        <w:tc>
          <w:tcPr>
            <w:tcW w:w="1372" w:type="pct"/>
            <w:vAlign w:val="center"/>
          </w:tcPr>
          <w:p w14:paraId="74616B64">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3个</w:t>
            </w:r>
          </w:p>
        </w:tc>
        <w:tc>
          <w:tcPr>
            <w:tcW w:w="1046" w:type="pct"/>
            <w:vAlign w:val="center"/>
          </w:tcPr>
          <w:p w14:paraId="0300B98F">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2个</w:t>
            </w:r>
          </w:p>
        </w:tc>
        <w:tc>
          <w:tcPr>
            <w:tcW w:w="1046" w:type="pct"/>
            <w:vAlign w:val="center"/>
          </w:tcPr>
          <w:p w14:paraId="7BF13E24">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1个</w:t>
            </w:r>
          </w:p>
        </w:tc>
      </w:tr>
      <w:tr w14:paraId="467F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91" w:type="pct"/>
            <w:vAlign w:val="center"/>
          </w:tcPr>
          <w:p w14:paraId="39DAB266">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w:t>
            </w:r>
          </w:p>
        </w:tc>
        <w:tc>
          <w:tcPr>
            <w:tcW w:w="1143" w:type="pct"/>
            <w:vAlign w:val="center"/>
          </w:tcPr>
          <w:p w14:paraId="32D4E3B4">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书包</w:t>
            </w:r>
          </w:p>
        </w:tc>
        <w:tc>
          <w:tcPr>
            <w:tcW w:w="1372" w:type="pct"/>
            <w:vAlign w:val="center"/>
          </w:tcPr>
          <w:p w14:paraId="338226C4">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3个</w:t>
            </w:r>
          </w:p>
        </w:tc>
        <w:tc>
          <w:tcPr>
            <w:tcW w:w="1046" w:type="pct"/>
            <w:vAlign w:val="center"/>
          </w:tcPr>
          <w:p w14:paraId="225E01D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2个</w:t>
            </w:r>
          </w:p>
        </w:tc>
        <w:tc>
          <w:tcPr>
            <w:tcW w:w="1046" w:type="pct"/>
            <w:vAlign w:val="center"/>
          </w:tcPr>
          <w:p w14:paraId="4823027C">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1个</w:t>
            </w:r>
          </w:p>
        </w:tc>
      </w:tr>
      <w:tr w14:paraId="6C10D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5000" w:type="pct"/>
            <w:gridSpan w:val="5"/>
            <w:vAlign w:val="center"/>
          </w:tcPr>
          <w:p w14:paraId="0D14A62D">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注：如样品面积过小，可适当增加抽样数量，不得超过检验、复检的合理需要。</w:t>
            </w:r>
          </w:p>
        </w:tc>
      </w:tr>
    </w:tbl>
    <w:p w14:paraId="48B81E5A">
      <w:pPr>
        <w:spacing w:line="240" w:lineRule="auto"/>
        <w:jc w:val="center"/>
        <w:rPr>
          <w:rFonts w:hint="default" w:ascii="Times New Roman" w:hAnsi="Times New Roman" w:eastAsia="宋体" w:cs="Times New Roman"/>
          <w:sz w:val="22"/>
          <w:szCs w:val="28"/>
        </w:rPr>
      </w:pPr>
    </w:p>
    <w:p w14:paraId="5581EE49">
      <w:pPr>
        <w:spacing w:line="520" w:lineRule="exact"/>
        <w:rPr>
          <w:rFonts w:hint="default" w:ascii="Times New Roman" w:hAnsi="Times New Roman" w:eastAsia="宋体" w:cs="Times New Roman"/>
          <w:sz w:val="22"/>
          <w:szCs w:val="28"/>
        </w:rPr>
      </w:pPr>
      <w:r>
        <w:rPr>
          <w:rFonts w:hint="default" w:ascii="Times New Roman" w:hAnsi="Times New Roman" w:eastAsia="黑体" w:cs="Times New Roman"/>
          <w:sz w:val="22"/>
          <w:szCs w:val="28"/>
        </w:rPr>
        <w:t>2 检验依据</w:t>
      </w:r>
    </w:p>
    <w:p w14:paraId="1E8B6111">
      <w:pPr>
        <w:spacing w:line="520" w:lineRule="exact"/>
        <w:rPr>
          <w:rFonts w:hint="default" w:ascii="Times New Roman" w:hAnsi="Times New Roman" w:cs="Times New Roman"/>
          <w:szCs w:val="21"/>
        </w:rPr>
      </w:pPr>
      <w:r>
        <w:rPr>
          <w:rFonts w:hint="default" w:ascii="Times New Roman" w:hAnsi="Times New Roman" w:eastAsia="宋体" w:cs="Times New Roman"/>
          <w:sz w:val="22"/>
          <w:szCs w:val="28"/>
        </w:rPr>
        <w:t>2.1</w:t>
      </w:r>
      <w:r>
        <w:rPr>
          <w:rFonts w:hint="default" w:ascii="Times New Roman" w:hAnsi="Times New Roman" w:cs="Times New Roman"/>
          <w:szCs w:val="21"/>
        </w:rPr>
        <w:t>学生文具</w:t>
      </w:r>
    </w:p>
    <w:p w14:paraId="3E301B47">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表3 学生文具（美术用品）</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3543"/>
        <w:gridCol w:w="2490"/>
        <w:gridCol w:w="2321"/>
      </w:tblGrid>
      <w:tr w14:paraId="2EB5C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7D19B4D3">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序号</w:t>
            </w:r>
          </w:p>
        </w:tc>
        <w:tc>
          <w:tcPr>
            <w:tcW w:w="1955" w:type="pct"/>
            <w:vAlign w:val="center"/>
          </w:tcPr>
          <w:p w14:paraId="75F2DE34">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检验项目</w:t>
            </w:r>
          </w:p>
        </w:tc>
        <w:tc>
          <w:tcPr>
            <w:tcW w:w="1374" w:type="pct"/>
            <w:vAlign w:val="center"/>
          </w:tcPr>
          <w:p w14:paraId="5A565131">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检验依据</w:t>
            </w:r>
          </w:p>
        </w:tc>
        <w:tc>
          <w:tcPr>
            <w:tcW w:w="1281" w:type="pct"/>
            <w:vAlign w:val="center"/>
          </w:tcPr>
          <w:p w14:paraId="76513C67">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检验方法</w:t>
            </w:r>
          </w:p>
        </w:tc>
      </w:tr>
      <w:tr w14:paraId="325A9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1E2BA854">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w:t>
            </w:r>
          </w:p>
        </w:tc>
        <w:tc>
          <w:tcPr>
            <w:tcW w:w="1955" w:type="pct"/>
            <w:vAlign w:val="center"/>
          </w:tcPr>
          <w:p w14:paraId="046EC9C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可迁移元素的限量</w:t>
            </w:r>
          </w:p>
        </w:tc>
        <w:tc>
          <w:tcPr>
            <w:tcW w:w="1374" w:type="pct"/>
            <w:vAlign w:val="center"/>
          </w:tcPr>
          <w:p w14:paraId="61AD3E9F">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81" w:type="pct"/>
            <w:vAlign w:val="center"/>
          </w:tcPr>
          <w:p w14:paraId="502E5DAC">
            <w:pPr>
              <w:jc w:val="center"/>
              <w:rPr>
                <w:rFonts w:hint="default" w:ascii="Times New Roman" w:hAnsi="Times New Roman" w:cs="Times New Roman"/>
                <w:szCs w:val="21"/>
              </w:rPr>
            </w:pPr>
            <w:r>
              <w:rPr>
                <w:rFonts w:hint="default" w:ascii="Times New Roman" w:hAnsi="Times New Roman" w:cs="Times New Roman"/>
                <w:szCs w:val="21"/>
              </w:rPr>
              <w:t>GB 6675.4—2014</w:t>
            </w:r>
          </w:p>
        </w:tc>
      </w:tr>
      <w:tr w14:paraId="68A6B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2593FCE3">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w:t>
            </w:r>
          </w:p>
        </w:tc>
        <w:tc>
          <w:tcPr>
            <w:tcW w:w="1955" w:type="pct"/>
            <w:vAlign w:val="center"/>
          </w:tcPr>
          <w:p w14:paraId="2DD5B99C">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可触及的塑料件中邻苯二甲酸酯增塑剂的限量</w:t>
            </w:r>
          </w:p>
        </w:tc>
        <w:tc>
          <w:tcPr>
            <w:tcW w:w="1374" w:type="pct"/>
            <w:shd w:val="clear" w:color="auto" w:fill="auto"/>
            <w:vAlign w:val="center"/>
          </w:tcPr>
          <w:p w14:paraId="4FFE6D96">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81" w:type="pct"/>
            <w:shd w:val="clear" w:color="auto" w:fill="auto"/>
            <w:vAlign w:val="center"/>
          </w:tcPr>
          <w:p w14:paraId="09EEF3CB">
            <w:pPr>
              <w:jc w:val="center"/>
              <w:rPr>
                <w:rFonts w:hint="default" w:ascii="Times New Roman" w:hAnsi="Times New Roman" w:cs="Times New Roman"/>
                <w:szCs w:val="21"/>
              </w:rPr>
            </w:pPr>
            <w:r>
              <w:rPr>
                <w:rFonts w:hint="default" w:ascii="Times New Roman" w:hAnsi="Times New Roman" w:cs="Times New Roman"/>
                <w:kern w:val="0"/>
                <w:szCs w:val="21"/>
              </w:rPr>
              <w:t>GB/T 22048</w:t>
            </w:r>
            <w:r>
              <w:rPr>
                <w:rFonts w:hint="default" w:ascii="Times New Roman" w:hAnsi="Times New Roman" w:cs="Times New Roman"/>
                <w:szCs w:val="21"/>
              </w:rPr>
              <w:t>—</w:t>
            </w:r>
            <w:r>
              <w:rPr>
                <w:rFonts w:hint="default" w:ascii="Times New Roman" w:hAnsi="Times New Roman" w:cs="Times New Roman"/>
                <w:kern w:val="0"/>
                <w:szCs w:val="21"/>
              </w:rPr>
              <w:t>2022</w:t>
            </w:r>
          </w:p>
        </w:tc>
      </w:tr>
      <w:tr w14:paraId="0D05A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2D39698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w:t>
            </w:r>
          </w:p>
        </w:tc>
        <w:tc>
          <w:tcPr>
            <w:tcW w:w="1955" w:type="pct"/>
            <w:vAlign w:val="center"/>
          </w:tcPr>
          <w:p w14:paraId="624F8613">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笔套安全</w:t>
            </w:r>
          </w:p>
        </w:tc>
        <w:tc>
          <w:tcPr>
            <w:tcW w:w="1374" w:type="pct"/>
            <w:vAlign w:val="center"/>
          </w:tcPr>
          <w:p w14:paraId="62BACC9E">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81" w:type="pct"/>
            <w:vAlign w:val="center"/>
          </w:tcPr>
          <w:p w14:paraId="7D07971B">
            <w:pPr>
              <w:jc w:val="center"/>
              <w:rPr>
                <w:rFonts w:hint="default" w:ascii="Times New Roman" w:hAnsi="Times New Roman" w:cs="Times New Roman"/>
                <w:szCs w:val="21"/>
              </w:rPr>
            </w:pPr>
            <w:r>
              <w:rPr>
                <w:rFonts w:hint="default" w:ascii="Times New Roman" w:hAnsi="Times New Roman" w:cs="Times New Roman"/>
                <w:szCs w:val="21"/>
              </w:rPr>
              <w:t>GB 21027—2020</w:t>
            </w:r>
          </w:p>
        </w:tc>
      </w:tr>
    </w:tbl>
    <w:p w14:paraId="179B6859">
      <w:pPr>
        <w:spacing w:line="520" w:lineRule="exact"/>
        <w:ind w:firstLine="440" w:firstLineChars="200"/>
        <w:rPr>
          <w:rFonts w:hint="default" w:ascii="Times New Roman" w:hAnsi="Times New Roman" w:eastAsia="宋体" w:cs="Times New Roman"/>
          <w:sz w:val="22"/>
          <w:szCs w:val="28"/>
        </w:rPr>
      </w:pPr>
    </w:p>
    <w:p w14:paraId="2694294D">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表</w:t>
      </w:r>
      <w:r>
        <w:rPr>
          <w:rFonts w:hint="eastAsia" w:ascii="Times New Roman" w:hAnsi="Times New Roman" w:eastAsia="宋体" w:cs="Times New Roman"/>
          <w:sz w:val="22"/>
          <w:szCs w:val="28"/>
          <w:lang w:val="en-US" w:eastAsia="zh-CN"/>
        </w:rPr>
        <w:t>4</w:t>
      </w:r>
      <w:r>
        <w:rPr>
          <w:rFonts w:hint="default" w:ascii="Times New Roman" w:hAnsi="Times New Roman" w:eastAsia="宋体" w:cs="Times New Roman"/>
          <w:sz w:val="22"/>
          <w:szCs w:val="28"/>
        </w:rPr>
        <w:t xml:space="preserve"> 学生文具（书写笔）</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3543"/>
        <w:gridCol w:w="2490"/>
        <w:gridCol w:w="2321"/>
      </w:tblGrid>
      <w:tr w14:paraId="527B9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2" w:hRule="atLeast"/>
          <w:tblHeader/>
          <w:jc w:val="center"/>
        </w:trPr>
        <w:tc>
          <w:tcPr>
            <w:tcW w:w="388" w:type="pct"/>
            <w:vAlign w:val="center"/>
          </w:tcPr>
          <w:p w14:paraId="2729E4C6">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序号</w:t>
            </w:r>
          </w:p>
        </w:tc>
        <w:tc>
          <w:tcPr>
            <w:tcW w:w="1955" w:type="pct"/>
            <w:vAlign w:val="center"/>
          </w:tcPr>
          <w:p w14:paraId="74EC915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检验项目</w:t>
            </w:r>
          </w:p>
        </w:tc>
        <w:tc>
          <w:tcPr>
            <w:tcW w:w="1374" w:type="pct"/>
            <w:vAlign w:val="center"/>
          </w:tcPr>
          <w:p w14:paraId="3AD2E2A4">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检验依据</w:t>
            </w:r>
          </w:p>
        </w:tc>
        <w:tc>
          <w:tcPr>
            <w:tcW w:w="1281" w:type="pct"/>
            <w:vAlign w:val="center"/>
          </w:tcPr>
          <w:p w14:paraId="1180E89D">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检验方法</w:t>
            </w:r>
          </w:p>
        </w:tc>
      </w:tr>
      <w:tr w14:paraId="3B7D2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62215880">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w:t>
            </w:r>
          </w:p>
        </w:tc>
        <w:tc>
          <w:tcPr>
            <w:tcW w:w="1955" w:type="pct"/>
            <w:vAlign w:val="center"/>
          </w:tcPr>
          <w:p w14:paraId="3AA9AD94">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可迁移元素的限量</w:t>
            </w:r>
          </w:p>
        </w:tc>
        <w:tc>
          <w:tcPr>
            <w:tcW w:w="1374" w:type="pct"/>
            <w:vAlign w:val="center"/>
          </w:tcPr>
          <w:p w14:paraId="734B318E">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81" w:type="pct"/>
            <w:vAlign w:val="center"/>
          </w:tcPr>
          <w:p w14:paraId="3FCF962A">
            <w:pPr>
              <w:jc w:val="center"/>
              <w:rPr>
                <w:rFonts w:hint="default" w:ascii="Times New Roman" w:hAnsi="Times New Roman" w:cs="Times New Roman"/>
                <w:szCs w:val="21"/>
              </w:rPr>
            </w:pPr>
            <w:r>
              <w:rPr>
                <w:rFonts w:hint="default" w:ascii="Times New Roman" w:hAnsi="Times New Roman" w:cs="Times New Roman"/>
                <w:szCs w:val="21"/>
              </w:rPr>
              <w:t>GB 6675.4—2014</w:t>
            </w:r>
          </w:p>
        </w:tc>
      </w:tr>
      <w:tr w14:paraId="34457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61072641">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w:t>
            </w:r>
          </w:p>
        </w:tc>
        <w:tc>
          <w:tcPr>
            <w:tcW w:w="1955" w:type="pct"/>
            <w:vAlign w:val="center"/>
          </w:tcPr>
          <w:p w14:paraId="49D455BA">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可触及的塑料件中邻苯二甲酸酯增塑剂的限量</w:t>
            </w:r>
          </w:p>
        </w:tc>
        <w:tc>
          <w:tcPr>
            <w:tcW w:w="1374" w:type="pct"/>
            <w:shd w:val="clear" w:color="auto" w:fill="auto"/>
            <w:vAlign w:val="center"/>
          </w:tcPr>
          <w:p w14:paraId="0EF09E88">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81" w:type="pct"/>
            <w:shd w:val="clear" w:color="auto" w:fill="auto"/>
            <w:vAlign w:val="center"/>
          </w:tcPr>
          <w:p w14:paraId="45528F2B">
            <w:pPr>
              <w:jc w:val="center"/>
              <w:rPr>
                <w:rFonts w:hint="default" w:ascii="Times New Roman" w:hAnsi="Times New Roman" w:cs="Times New Roman"/>
                <w:szCs w:val="21"/>
              </w:rPr>
            </w:pPr>
            <w:r>
              <w:rPr>
                <w:rFonts w:hint="default" w:ascii="Times New Roman" w:hAnsi="Times New Roman" w:cs="Times New Roman"/>
                <w:kern w:val="0"/>
                <w:szCs w:val="21"/>
              </w:rPr>
              <w:t>GB/T 22048</w:t>
            </w:r>
            <w:r>
              <w:rPr>
                <w:rFonts w:hint="default" w:ascii="Times New Roman" w:hAnsi="Times New Roman" w:cs="Times New Roman"/>
                <w:szCs w:val="21"/>
              </w:rPr>
              <w:t>—</w:t>
            </w:r>
            <w:r>
              <w:rPr>
                <w:rFonts w:hint="default" w:ascii="Times New Roman" w:hAnsi="Times New Roman" w:cs="Times New Roman"/>
                <w:kern w:val="0"/>
                <w:szCs w:val="21"/>
              </w:rPr>
              <w:t>2022</w:t>
            </w:r>
          </w:p>
        </w:tc>
      </w:tr>
      <w:tr w14:paraId="707B6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0C9C629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w:t>
            </w:r>
          </w:p>
        </w:tc>
        <w:tc>
          <w:tcPr>
            <w:tcW w:w="1955" w:type="pct"/>
            <w:vAlign w:val="center"/>
          </w:tcPr>
          <w:p w14:paraId="29030733">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笔套安全</w:t>
            </w:r>
          </w:p>
        </w:tc>
        <w:tc>
          <w:tcPr>
            <w:tcW w:w="1374" w:type="pct"/>
            <w:vAlign w:val="center"/>
          </w:tcPr>
          <w:p w14:paraId="6424C71C">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81" w:type="pct"/>
            <w:vAlign w:val="center"/>
          </w:tcPr>
          <w:p w14:paraId="5E1DA716">
            <w:pPr>
              <w:jc w:val="center"/>
              <w:rPr>
                <w:rFonts w:hint="default" w:ascii="Times New Roman" w:hAnsi="Times New Roman" w:cs="Times New Roman"/>
                <w:szCs w:val="21"/>
              </w:rPr>
            </w:pPr>
            <w:r>
              <w:rPr>
                <w:rFonts w:hint="default" w:ascii="Times New Roman" w:hAnsi="Times New Roman" w:cs="Times New Roman"/>
                <w:szCs w:val="21"/>
              </w:rPr>
              <w:t>GB 21027—2020</w:t>
            </w:r>
          </w:p>
        </w:tc>
      </w:tr>
    </w:tbl>
    <w:p w14:paraId="49DFE4F1">
      <w:pPr>
        <w:spacing w:line="520" w:lineRule="exact"/>
        <w:ind w:firstLine="440" w:firstLineChars="200"/>
        <w:rPr>
          <w:rFonts w:hint="default" w:ascii="Times New Roman" w:hAnsi="Times New Roman" w:eastAsia="宋体" w:cs="Times New Roman"/>
          <w:sz w:val="22"/>
          <w:szCs w:val="28"/>
        </w:rPr>
      </w:pPr>
    </w:p>
    <w:p w14:paraId="7F55B6F6">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表5 学生文具（记号笔）</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3541"/>
        <w:gridCol w:w="2506"/>
        <w:gridCol w:w="2307"/>
      </w:tblGrid>
      <w:tr w14:paraId="05566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099D4BEA">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序号</w:t>
            </w:r>
          </w:p>
        </w:tc>
        <w:tc>
          <w:tcPr>
            <w:tcW w:w="1954" w:type="pct"/>
            <w:vAlign w:val="center"/>
          </w:tcPr>
          <w:p w14:paraId="64391187">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检验项目</w:t>
            </w:r>
          </w:p>
        </w:tc>
        <w:tc>
          <w:tcPr>
            <w:tcW w:w="1383" w:type="pct"/>
            <w:vAlign w:val="center"/>
          </w:tcPr>
          <w:p w14:paraId="6D953EDC">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检验依据</w:t>
            </w:r>
          </w:p>
        </w:tc>
        <w:tc>
          <w:tcPr>
            <w:tcW w:w="1273" w:type="pct"/>
            <w:vAlign w:val="center"/>
          </w:tcPr>
          <w:p w14:paraId="1D6AA43C">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检验方法</w:t>
            </w:r>
          </w:p>
        </w:tc>
      </w:tr>
      <w:tr w14:paraId="0916E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2DB37C2A">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w:t>
            </w:r>
          </w:p>
        </w:tc>
        <w:tc>
          <w:tcPr>
            <w:tcW w:w="1954" w:type="pct"/>
            <w:vAlign w:val="center"/>
          </w:tcPr>
          <w:p w14:paraId="507CB350">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可迁移元素的限量</w:t>
            </w:r>
          </w:p>
        </w:tc>
        <w:tc>
          <w:tcPr>
            <w:tcW w:w="1383" w:type="pct"/>
            <w:vAlign w:val="center"/>
          </w:tcPr>
          <w:p w14:paraId="4A0BD31B">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73" w:type="pct"/>
            <w:vAlign w:val="center"/>
          </w:tcPr>
          <w:p w14:paraId="5A704FFB">
            <w:pPr>
              <w:jc w:val="center"/>
              <w:rPr>
                <w:rFonts w:hint="default" w:ascii="Times New Roman" w:hAnsi="Times New Roman" w:cs="Times New Roman"/>
                <w:szCs w:val="21"/>
              </w:rPr>
            </w:pPr>
            <w:r>
              <w:rPr>
                <w:rFonts w:hint="default" w:ascii="Times New Roman" w:hAnsi="Times New Roman" w:cs="Times New Roman"/>
                <w:szCs w:val="21"/>
              </w:rPr>
              <w:t>GB 6675.4—2014</w:t>
            </w:r>
          </w:p>
        </w:tc>
      </w:tr>
      <w:tr w14:paraId="2033A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41C02E9A">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w:t>
            </w:r>
          </w:p>
        </w:tc>
        <w:tc>
          <w:tcPr>
            <w:tcW w:w="1954" w:type="pct"/>
            <w:vAlign w:val="center"/>
          </w:tcPr>
          <w:p w14:paraId="4284E0F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可触及的塑料件中邻苯二甲酸酯增塑剂的限量</w:t>
            </w:r>
          </w:p>
        </w:tc>
        <w:tc>
          <w:tcPr>
            <w:tcW w:w="1383" w:type="pct"/>
            <w:shd w:val="clear" w:color="auto" w:fill="auto"/>
            <w:vAlign w:val="center"/>
          </w:tcPr>
          <w:p w14:paraId="7D111AE4">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73" w:type="pct"/>
            <w:shd w:val="clear" w:color="auto" w:fill="auto"/>
            <w:vAlign w:val="center"/>
          </w:tcPr>
          <w:p w14:paraId="0228444C">
            <w:pPr>
              <w:jc w:val="center"/>
              <w:rPr>
                <w:rFonts w:hint="default" w:ascii="Times New Roman" w:hAnsi="Times New Roman" w:cs="Times New Roman"/>
                <w:szCs w:val="21"/>
              </w:rPr>
            </w:pPr>
            <w:r>
              <w:rPr>
                <w:rFonts w:hint="default" w:ascii="Times New Roman" w:hAnsi="Times New Roman" w:cs="Times New Roman"/>
                <w:kern w:val="0"/>
                <w:szCs w:val="21"/>
              </w:rPr>
              <w:t>GB/T 22048</w:t>
            </w:r>
            <w:r>
              <w:rPr>
                <w:rFonts w:hint="default" w:ascii="Times New Roman" w:hAnsi="Times New Roman" w:cs="Times New Roman"/>
                <w:szCs w:val="21"/>
              </w:rPr>
              <w:t>—</w:t>
            </w:r>
            <w:r>
              <w:rPr>
                <w:rFonts w:hint="default" w:ascii="Times New Roman" w:hAnsi="Times New Roman" w:cs="Times New Roman"/>
                <w:kern w:val="0"/>
                <w:szCs w:val="21"/>
              </w:rPr>
              <w:t>2022</w:t>
            </w:r>
          </w:p>
        </w:tc>
      </w:tr>
      <w:tr w14:paraId="3A1C1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018EA9E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w:t>
            </w:r>
          </w:p>
        </w:tc>
        <w:tc>
          <w:tcPr>
            <w:tcW w:w="1954" w:type="pct"/>
            <w:vAlign w:val="center"/>
          </w:tcPr>
          <w:p w14:paraId="260A9DF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笔套安全</w:t>
            </w:r>
          </w:p>
        </w:tc>
        <w:tc>
          <w:tcPr>
            <w:tcW w:w="1383" w:type="pct"/>
            <w:vAlign w:val="center"/>
          </w:tcPr>
          <w:p w14:paraId="3BE9B062">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73" w:type="pct"/>
            <w:vAlign w:val="center"/>
          </w:tcPr>
          <w:p w14:paraId="779BD2AF">
            <w:pPr>
              <w:jc w:val="center"/>
              <w:rPr>
                <w:rFonts w:hint="default" w:ascii="Times New Roman" w:hAnsi="Times New Roman" w:cs="Times New Roman"/>
                <w:szCs w:val="21"/>
              </w:rPr>
            </w:pPr>
            <w:r>
              <w:rPr>
                <w:rFonts w:hint="default" w:ascii="Times New Roman" w:hAnsi="Times New Roman" w:cs="Times New Roman"/>
                <w:szCs w:val="21"/>
              </w:rPr>
              <w:t>GB 21027—2020</w:t>
            </w:r>
          </w:p>
        </w:tc>
      </w:tr>
    </w:tbl>
    <w:p w14:paraId="1F86C2F0">
      <w:pPr>
        <w:spacing w:line="520" w:lineRule="exact"/>
        <w:ind w:firstLine="440" w:firstLineChars="200"/>
        <w:rPr>
          <w:rFonts w:hint="default" w:ascii="Times New Roman" w:hAnsi="Times New Roman" w:eastAsia="宋体" w:cs="Times New Roman"/>
          <w:sz w:val="22"/>
          <w:szCs w:val="28"/>
        </w:rPr>
      </w:pPr>
    </w:p>
    <w:p w14:paraId="0E042EBB">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表6 学生文具（橡皮擦）</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3463"/>
        <w:gridCol w:w="2724"/>
        <w:gridCol w:w="2167"/>
      </w:tblGrid>
      <w:tr w14:paraId="66EB8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359DA5BF">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序号</w:t>
            </w:r>
          </w:p>
        </w:tc>
        <w:tc>
          <w:tcPr>
            <w:tcW w:w="1911" w:type="pct"/>
            <w:vAlign w:val="center"/>
          </w:tcPr>
          <w:p w14:paraId="18A7458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检验项目</w:t>
            </w:r>
          </w:p>
        </w:tc>
        <w:tc>
          <w:tcPr>
            <w:tcW w:w="1503" w:type="pct"/>
            <w:vAlign w:val="center"/>
          </w:tcPr>
          <w:p w14:paraId="7A5EB157">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检验依据</w:t>
            </w:r>
          </w:p>
        </w:tc>
        <w:tc>
          <w:tcPr>
            <w:tcW w:w="1196" w:type="pct"/>
            <w:vAlign w:val="center"/>
          </w:tcPr>
          <w:p w14:paraId="2123DFC5">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检验方法</w:t>
            </w:r>
          </w:p>
        </w:tc>
      </w:tr>
      <w:tr w14:paraId="6AFA8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blHeader/>
          <w:jc w:val="center"/>
        </w:trPr>
        <w:tc>
          <w:tcPr>
            <w:tcW w:w="388" w:type="pct"/>
            <w:vAlign w:val="center"/>
          </w:tcPr>
          <w:p w14:paraId="3DCD26B3">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w:t>
            </w:r>
          </w:p>
        </w:tc>
        <w:tc>
          <w:tcPr>
            <w:tcW w:w="1911" w:type="pct"/>
            <w:vAlign w:val="center"/>
          </w:tcPr>
          <w:p w14:paraId="4E78CF4A">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可迁移元素的限量</w:t>
            </w:r>
          </w:p>
        </w:tc>
        <w:tc>
          <w:tcPr>
            <w:tcW w:w="1503" w:type="pct"/>
            <w:vAlign w:val="center"/>
          </w:tcPr>
          <w:p w14:paraId="71BEEC23">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196" w:type="pct"/>
            <w:vAlign w:val="center"/>
          </w:tcPr>
          <w:p w14:paraId="5933AD9A">
            <w:pPr>
              <w:jc w:val="center"/>
              <w:rPr>
                <w:rFonts w:hint="default" w:ascii="Times New Roman" w:hAnsi="Times New Roman" w:cs="Times New Roman"/>
                <w:szCs w:val="21"/>
              </w:rPr>
            </w:pPr>
            <w:r>
              <w:rPr>
                <w:rFonts w:hint="default" w:ascii="Times New Roman" w:hAnsi="Times New Roman" w:cs="Times New Roman"/>
                <w:szCs w:val="21"/>
              </w:rPr>
              <w:t>GB 6675.4—2014</w:t>
            </w:r>
          </w:p>
        </w:tc>
      </w:tr>
      <w:tr w14:paraId="4AC83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5D9A51AA">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w:t>
            </w:r>
          </w:p>
        </w:tc>
        <w:tc>
          <w:tcPr>
            <w:tcW w:w="1911" w:type="pct"/>
            <w:vAlign w:val="center"/>
          </w:tcPr>
          <w:p w14:paraId="3BEA5511">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可触及的塑料件中邻苯二甲酸酯增塑剂的限量</w:t>
            </w:r>
          </w:p>
        </w:tc>
        <w:tc>
          <w:tcPr>
            <w:tcW w:w="1503" w:type="pct"/>
            <w:shd w:val="clear" w:color="auto" w:fill="auto"/>
            <w:vAlign w:val="center"/>
          </w:tcPr>
          <w:p w14:paraId="03114BD9">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196" w:type="pct"/>
            <w:shd w:val="clear" w:color="auto" w:fill="auto"/>
            <w:vAlign w:val="center"/>
          </w:tcPr>
          <w:p w14:paraId="12A05C65">
            <w:pPr>
              <w:jc w:val="center"/>
              <w:rPr>
                <w:rFonts w:hint="default" w:ascii="Times New Roman" w:hAnsi="Times New Roman" w:cs="Times New Roman"/>
                <w:szCs w:val="21"/>
              </w:rPr>
            </w:pPr>
            <w:r>
              <w:rPr>
                <w:rFonts w:hint="default" w:ascii="Times New Roman" w:hAnsi="Times New Roman" w:cs="Times New Roman"/>
                <w:kern w:val="0"/>
                <w:szCs w:val="21"/>
              </w:rPr>
              <w:t>GB/T 22048</w:t>
            </w:r>
            <w:r>
              <w:rPr>
                <w:rFonts w:hint="default" w:ascii="Times New Roman" w:hAnsi="Times New Roman" w:cs="Times New Roman"/>
                <w:szCs w:val="21"/>
              </w:rPr>
              <w:t>—</w:t>
            </w:r>
            <w:r>
              <w:rPr>
                <w:rFonts w:hint="default" w:ascii="Times New Roman" w:hAnsi="Times New Roman" w:cs="Times New Roman"/>
                <w:kern w:val="0"/>
                <w:szCs w:val="21"/>
              </w:rPr>
              <w:t>2022</w:t>
            </w:r>
          </w:p>
        </w:tc>
      </w:tr>
    </w:tbl>
    <w:p w14:paraId="4315D166">
      <w:pPr>
        <w:jc w:val="center"/>
        <w:rPr>
          <w:rFonts w:hint="default" w:ascii="Times New Roman" w:hAnsi="Times New Roman" w:eastAsia="宋体" w:cs="Times New Roman"/>
          <w:sz w:val="22"/>
          <w:szCs w:val="28"/>
        </w:rPr>
      </w:pPr>
    </w:p>
    <w:p w14:paraId="6279938A">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表7 学生文具（涂改制品）</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3432"/>
        <w:gridCol w:w="2724"/>
        <w:gridCol w:w="2198"/>
      </w:tblGrid>
      <w:tr w14:paraId="0B8DC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358EE807">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序号</w:t>
            </w:r>
          </w:p>
        </w:tc>
        <w:tc>
          <w:tcPr>
            <w:tcW w:w="1894" w:type="pct"/>
            <w:vAlign w:val="center"/>
          </w:tcPr>
          <w:p w14:paraId="5618DB1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检验项目</w:t>
            </w:r>
          </w:p>
        </w:tc>
        <w:tc>
          <w:tcPr>
            <w:tcW w:w="1503" w:type="pct"/>
            <w:vAlign w:val="center"/>
          </w:tcPr>
          <w:p w14:paraId="3DF38B0D">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检验依据</w:t>
            </w:r>
          </w:p>
        </w:tc>
        <w:tc>
          <w:tcPr>
            <w:tcW w:w="1213" w:type="pct"/>
            <w:vAlign w:val="center"/>
          </w:tcPr>
          <w:p w14:paraId="32FAD25C">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检验方法</w:t>
            </w:r>
          </w:p>
        </w:tc>
      </w:tr>
      <w:tr w14:paraId="22A99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388" w:type="pct"/>
            <w:vAlign w:val="center"/>
          </w:tcPr>
          <w:p w14:paraId="5CBDA43F">
            <w:pPr>
              <w:jc w:val="center"/>
              <w:rPr>
                <w:rFonts w:hint="default" w:ascii="Times New Roman" w:hAnsi="Times New Roman" w:cs="Times New Roman"/>
                <w:szCs w:val="21"/>
              </w:rPr>
            </w:pPr>
            <w:r>
              <w:rPr>
                <w:rFonts w:hint="default" w:ascii="Times New Roman" w:hAnsi="Times New Roman" w:cs="Times New Roman"/>
                <w:szCs w:val="21"/>
              </w:rPr>
              <w:t>1</w:t>
            </w:r>
          </w:p>
        </w:tc>
        <w:tc>
          <w:tcPr>
            <w:tcW w:w="1894" w:type="pct"/>
            <w:vAlign w:val="center"/>
          </w:tcPr>
          <w:p w14:paraId="109D4244">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可迁移元素的限量</w:t>
            </w:r>
          </w:p>
        </w:tc>
        <w:tc>
          <w:tcPr>
            <w:tcW w:w="1503" w:type="pct"/>
            <w:vAlign w:val="center"/>
          </w:tcPr>
          <w:p w14:paraId="6EE268F6">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13" w:type="pct"/>
            <w:vAlign w:val="center"/>
          </w:tcPr>
          <w:p w14:paraId="12FC2AF8">
            <w:pPr>
              <w:jc w:val="center"/>
              <w:rPr>
                <w:rFonts w:hint="default" w:ascii="Times New Roman" w:hAnsi="Times New Roman" w:cs="Times New Roman"/>
                <w:szCs w:val="21"/>
              </w:rPr>
            </w:pPr>
            <w:r>
              <w:rPr>
                <w:rFonts w:hint="default" w:ascii="Times New Roman" w:hAnsi="Times New Roman" w:cs="Times New Roman"/>
                <w:szCs w:val="21"/>
              </w:rPr>
              <w:t>GB 6675.4—2014</w:t>
            </w:r>
          </w:p>
        </w:tc>
      </w:tr>
      <w:tr w14:paraId="16CC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388" w:type="pct"/>
            <w:vAlign w:val="center"/>
          </w:tcPr>
          <w:p w14:paraId="7624AC76">
            <w:pPr>
              <w:jc w:val="center"/>
              <w:rPr>
                <w:rFonts w:hint="default" w:ascii="Times New Roman" w:hAnsi="Times New Roman" w:cs="Times New Roman"/>
                <w:szCs w:val="21"/>
              </w:rPr>
            </w:pPr>
            <w:r>
              <w:rPr>
                <w:rFonts w:hint="default" w:ascii="Times New Roman" w:hAnsi="Times New Roman" w:cs="Times New Roman"/>
                <w:szCs w:val="21"/>
              </w:rPr>
              <w:t>2</w:t>
            </w:r>
          </w:p>
        </w:tc>
        <w:tc>
          <w:tcPr>
            <w:tcW w:w="1894" w:type="pct"/>
            <w:vAlign w:val="center"/>
          </w:tcPr>
          <w:p w14:paraId="6B8F2FBA">
            <w:pPr>
              <w:jc w:val="center"/>
              <w:rPr>
                <w:rFonts w:hint="default" w:ascii="Times New Roman" w:hAnsi="Times New Roman" w:eastAsia="宋体" w:cs="Times New Roman"/>
                <w:sz w:val="22"/>
                <w:szCs w:val="28"/>
              </w:rPr>
            </w:pPr>
            <w:bookmarkStart w:id="0" w:name="_Hlk128560253"/>
            <w:r>
              <w:rPr>
                <w:rFonts w:hint="default" w:ascii="Times New Roman" w:hAnsi="Times New Roman" w:eastAsia="宋体" w:cs="Times New Roman"/>
                <w:sz w:val="22"/>
                <w:szCs w:val="28"/>
              </w:rPr>
              <w:t>苯的含量</w:t>
            </w:r>
            <w:bookmarkEnd w:id="0"/>
          </w:p>
        </w:tc>
        <w:tc>
          <w:tcPr>
            <w:tcW w:w="1503" w:type="pct"/>
            <w:vAlign w:val="center"/>
          </w:tcPr>
          <w:p w14:paraId="42044B59">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13" w:type="pct"/>
            <w:vAlign w:val="center"/>
          </w:tcPr>
          <w:p w14:paraId="2124E0B1">
            <w:pPr>
              <w:jc w:val="center"/>
              <w:rPr>
                <w:rFonts w:hint="default" w:ascii="Times New Roman" w:hAnsi="Times New Roman" w:cs="Times New Roman"/>
                <w:szCs w:val="21"/>
              </w:rPr>
            </w:pPr>
            <w:r>
              <w:rPr>
                <w:rFonts w:hint="default" w:ascii="Times New Roman" w:hAnsi="Times New Roman" w:cs="Times New Roman"/>
                <w:szCs w:val="21"/>
              </w:rPr>
              <w:t>GB 21027—2020</w:t>
            </w:r>
          </w:p>
        </w:tc>
      </w:tr>
      <w:tr w14:paraId="3CFBA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blHeader/>
          <w:jc w:val="center"/>
        </w:trPr>
        <w:tc>
          <w:tcPr>
            <w:tcW w:w="388" w:type="pct"/>
            <w:vAlign w:val="center"/>
          </w:tcPr>
          <w:p w14:paraId="3BB45E89">
            <w:pPr>
              <w:jc w:val="center"/>
              <w:rPr>
                <w:rFonts w:hint="default" w:ascii="Times New Roman" w:hAnsi="Times New Roman" w:cs="Times New Roman"/>
                <w:szCs w:val="21"/>
              </w:rPr>
            </w:pPr>
            <w:r>
              <w:rPr>
                <w:rFonts w:hint="default" w:ascii="Times New Roman" w:hAnsi="Times New Roman" w:cs="Times New Roman"/>
                <w:szCs w:val="21"/>
              </w:rPr>
              <w:t>3</w:t>
            </w:r>
          </w:p>
        </w:tc>
        <w:tc>
          <w:tcPr>
            <w:tcW w:w="1894" w:type="pct"/>
            <w:vAlign w:val="center"/>
          </w:tcPr>
          <w:p w14:paraId="0013654B">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氯代烃</w:t>
            </w:r>
          </w:p>
        </w:tc>
        <w:tc>
          <w:tcPr>
            <w:tcW w:w="1503" w:type="pct"/>
            <w:vAlign w:val="center"/>
          </w:tcPr>
          <w:p w14:paraId="018CC9CB">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13" w:type="pct"/>
            <w:vAlign w:val="center"/>
          </w:tcPr>
          <w:p w14:paraId="2881164B">
            <w:pPr>
              <w:jc w:val="center"/>
              <w:rPr>
                <w:rFonts w:hint="default" w:ascii="Times New Roman" w:hAnsi="Times New Roman" w:cs="Times New Roman"/>
                <w:szCs w:val="21"/>
              </w:rPr>
            </w:pPr>
            <w:r>
              <w:rPr>
                <w:rFonts w:hint="default" w:ascii="Times New Roman" w:hAnsi="Times New Roman" w:cs="Times New Roman"/>
                <w:szCs w:val="21"/>
              </w:rPr>
              <w:t>GB/T 32613—2016</w:t>
            </w:r>
          </w:p>
        </w:tc>
      </w:tr>
      <w:tr w14:paraId="1FE60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63B9E4B0">
            <w:pPr>
              <w:jc w:val="center"/>
              <w:rPr>
                <w:rFonts w:hint="default" w:ascii="Times New Roman" w:hAnsi="Times New Roman" w:cs="Times New Roman"/>
                <w:szCs w:val="21"/>
              </w:rPr>
            </w:pPr>
            <w:r>
              <w:rPr>
                <w:rFonts w:hint="default" w:ascii="Times New Roman" w:hAnsi="Times New Roman" w:cs="Times New Roman"/>
                <w:szCs w:val="21"/>
              </w:rPr>
              <w:t>4</w:t>
            </w:r>
          </w:p>
        </w:tc>
        <w:tc>
          <w:tcPr>
            <w:tcW w:w="1894" w:type="pct"/>
            <w:vAlign w:val="center"/>
          </w:tcPr>
          <w:p w14:paraId="06096937">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可触及的塑料件中邻苯二甲酸酯增塑剂的限量</w:t>
            </w:r>
          </w:p>
        </w:tc>
        <w:tc>
          <w:tcPr>
            <w:tcW w:w="1503" w:type="pct"/>
            <w:vAlign w:val="center"/>
          </w:tcPr>
          <w:p w14:paraId="44D350E0">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13" w:type="pct"/>
            <w:vAlign w:val="center"/>
          </w:tcPr>
          <w:p w14:paraId="7E53DE08">
            <w:pPr>
              <w:jc w:val="center"/>
              <w:rPr>
                <w:rFonts w:hint="default" w:ascii="Times New Roman" w:hAnsi="Times New Roman" w:cs="Times New Roman"/>
                <w:szCs w:val="21"/>
              </w:rPr>
            </w:pPr>
            <w:r>
              <w:rPr>
                <w:rFonts w:hint="default" w:ascii="Times New Roman" w:hAnsi="Times New Roman" w:cs="Times New Roman"/>
                <w:kern w:val="0"/>
                <w:szCs w:val="21"/>
              </w:rPr>
              <w:t>GB/T 22048</w:t>
            </w:r>
            <w:r>
              <w:rPr>
                <w:rFonts w:hint="default" w:ascii="Times New Roman" w:hAnsi="Times New Roman" w:cs="Times New Roman"/>
                <w:szCs w:val="21"/>
              </w:rPr>
              <w:t>—</w:t>
            </w:r>
            <w:r>
              <w:rPr>
                <w:rFonts w:hint="default" w:ascii="Times New Roman" w:hAnsi="Times New Roman" w:cs="Times New Roman"/>
                <w:kern w:val="0"/>
                <w:szCs w:val="21"/>
              </w:rPr>
              <w:t>2022</w:t>
            </w:r>
          </w:p>
        </w:tc>
      </w:tr>
      <w:tr w14:paraId="2FA0C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blHeader/>
          <w:jc w:val="center"/>
        </w:trPr>
        <w:tc>
          <w:tcPr>
            <w:tcW w:w="388" w:type="pct"/>
            <w:vAlign w:val="center"/>
          </w:tcPr>
          <w:p w14:paraId="704DD593">
            <w:pPr>
              <w:jc w:val="center"/>
              <w:rPr>
                <w:rFonts w:hint="default" w:ascii="Times New Roman" w:hAnsi="Times New Roman" w:cs="Times New Roman"/>
                <w:szCs w:val="21"/>
              </w:rPr>
            </w:pPr>
            <w:r>
              <w:rPr>
                <w:rFonts w:hint="default" w:ascii="Times New Roman" w:hAnsi="Times New Roman" w:cs="Times New Roman"/>
                <w:szCs w:val="21"/>
              </w:rPr>
              <w:t>5</w:t>
            </w:r>
          </w:p>
        </w:tc>
        <w:tc>
          <w:tcPr>
            <w:tcW w:w="1894" w:type="pct"/>
            <w:vAlign w:val="center"/>
          </w:tcPr>
          <w:p w14:paraId="7820C241">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笔套安全</w:t>
            </w:r>
          </w:p>
        </w:tc>
        <w:tc>
          <w:tcPr>
            <w:tcW w:w="1503" w:type="pct"/>
            <w:shd w:val="clear" w:color="auto" w:fill="auto"/>
            <w:vAlign w:val="center"/>
          </w:tcPr>
          <w:p w14:paraId="353F9962">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13" w:type="pct"/>
            <w:shd w:val="clear" w:color="auto" w:fill="auto"/>
            <w:vAlign w:val="center"/>
          </w:tcPr>
          <w:p w14:paraId="765791BD">
            <w:pPr>
              <w:jc w:val="center"/>
              <w:rPr>
                <w:rFonts w:hint="default" w:ascii="Times New Roman" w:hAnsi="Times New Roman" w:cs="Times New Roman"/>
                <w:szCs w:val="21"/>
              </w:rPr>
            </w:pPr>
            <w:r>
              <w:rPr>
                <w:rFonts w:hint="default" w:ascii="Times New Roman" w:hAnsi="Times New Roman" w:cs="Times New Roman"/>
                <w:szCs w:val="21"/>
              </w:rPr>
              <w:t xml:space="preserve">GB 21027—2020 </w:t>
            </w:r>
          </w:p>
        </w:tc>
      </w:tr>
    </w:tbl>
    <w:p w14:paraId="0ACF4A8D">
      <w:pPr>
        <w:spacing w:line="240" w:lineRule="auto"/>
        <w:ind w:firstLine="440" w:firstLineChars="200"/>
        <w:rPr>
          <w:rFonts w:hint="default" w:ascii="Times New Roman" w:hAnsi="Times New Roman" w:eastAsia="宋体" w:cs="Times New Roman"/>
          <w:sz w:val="22"/>
          <w:szCs w:val="28"/>
        </w:rPr>
      </w:pPr>
    </w:p>
    <w:p w14:paraId="526CE1EA">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表8 学生文具（</w:t>
      </w:r>
      <w:bookmarkStart w:id="1" w:name="_Hlk128560280"/>
      <w:r>
        <w:rPr>
          <w:rFonts w:hint="default" w:ascii="Times New Roman" w:hAnsi="Times New Roman" w:eastAsia="宋体" w:cs="Times New Roman"/>
          <w:sz w:val="22"/>
          <w:szCs w:val="28"/>
        </w:rPr>
        <w:t>胶黏剂</w:t>
      </w:r>
      <w:bookmarkEnd w:id="1"/>
      <w:r>
        <w:rPr>
          <w:rFonts w:hint="default" w:ascii="Times New Roman" w:hAnsi="Times New Roman" w:eastAsia="宋体" w:cs="Times New Roman"/>
          <w:sz w:val="22"/>
          <w:szCs w:val="28"/>
        </w:rPr>
        <w:t>）</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3401"/>
        <w:gridCol w:w="2740"/>
        <w:gridCol w:w="2213"/>
      </w:tblGrid>
      <w:tr w14:paraId="037B2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220DD950">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序号</w:t>
            </w:r>
          </w:p>
        </w:tc>
        <w:tc>
          <w:tcPr>
            <w:tcW w:w="1877" w:type="pct"/>
            <w:vAlign w:val="center"/>
          </w:tcPr>
          <w:p w14:paraId="5F9BF2C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检验项目</w:t>
            </w:r>
          </w:p>
        </w:tc>
        <w:tc>
          <w:tcPr>
            <w:tcW w:w="1512" w:type="pct"/>
            <w:vAlign w:val="center"/>
          </w:tcPr>
          <w:p w14:paraId="63FFD0C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检验依据</w:t>
            </w:r>
          </w:p>
        </w:tc>
        <w:tc>
          <w:tcPr>
            <w:tcW w:w="1221" w:type="pct"/>
            <w:vAlign w:val="center"/>
          </w:tcPr>
          <w:p w14:paraId="752EF4D0">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检验方法</w:t>
            </w:r>
          </w:p>
        </w:tc>
      </w:tr>
      <w:tr w14:paraId="37DD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388" w:type="pct"/>
            <w:vAlign w:val="center"/>
          </w:tcPr>
          <w:p w14:paraId="5A160E6C">
            <w:pPr>
              <w:jc w:val="center"/>
              <w:rPr>
                <w:rFonts w:hint="default" w:ascii="Times New Roman" w:hAnsi="Times New Roman" w:cs="Times New Roman"/>
                <w:szCs w:val="21"/>
              </w:rPr>
            </w:pPr>
            <w:r>
              <w:rPr>
                <w:rFonts w:hint="default" w:ascii="Times New Roman" w:hAnsi="Times New Roman" w:cs="Times New Roman"/>
                <w:szCs w:val="21"/>
              </w:rPr>
              <w:t>1</w:t>
            </w:r>
          </w:p>
        </w:tc>
        <w:tc>
          <w:tcPr>
            <w:tcW w:w="1877" w:type="pct"/>
            <w:vAlign w:val="center"/>
          </w:tcPr>
          <w:p w14:paraId="471BA744">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游离甲醛</w:t>
            </w:r>
          </w:p>
        </w:tc>
        <w:tc>
          <w:tcPr>
            <w:tcW w:w="1512" w:type="pct"/>
            <w:vAlign w:val="center"/>
          </w:tcPr>
          <w:p w14:paraId="1F7C7D7D">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21" w:type="pct"/>
            <w:vAlign w:val="center"/>
          </w:tcPr>
          <w:p w14:paraId="7444632F">
            <w:pPr>
              <w:jc w:val="center"/>
              <w:rPr>
                <w:rFonts w:hint="default" w:ascii="Times New Roman" w:hAnsi="Times New Roman" w:cs="Times New Roman"/>
                <w:szCs w:val="21"/>
              </w:rPr>
            </w:pPr>
            <w:r>
              <w:rPr>
                <w:rFonts w:hint="default" w:ascii="Times New Roman" w:hAnsi="Times New Roman" w:cs="Times New Roman"/>
                <w:szCs w:val="21"/>
              </w:rPr>
              <w:t>GB/T 32606—2016</w:t>
            </w:r>
          </w:p>
        </w:tc>
      </w:tr>
      <w:tr w14:paraId="0B262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blHeader/>
          <w:jc w:val="center"/>
        </w:trPr>
        <w:tc>
          <w:tcPr>
            <w:tcW w:w="388" w:type="pct"/>
            <w:vAlign w:val="center"/>
          </w:tcPr>
          <w:p w14:paraId="599F9399">
            <w:pPr>
              <w:jc w:val="center"/>
              <w:rPr>
                <w:rFonts w:hint="default" w:ascii="Times New Roman" w:hAnsi="Times New Roman" w:cs="Times New Roman"/>
                <w:szCs w:val="21"/>
              </w:rPr>
            </w:pPr>
            <w:r>
              <w:rPr>
                <w:rFonts w:hint="default" w:ascii="Times New Roman" w:hAnsi="Times New Roman" w:cs="Times New Roman"/>
                <w:szCs w:val="21"/>
              </w:rPr>
              <w:t>2</w:t>
            </w:r>
          </w:p>
        </w:tc>
        <w:tc>
          <w:tcPr>
            <w:tcW w:w="1877" w:type="pct"/>
            <w:vAlign w:val="center"/>
          </w:tcPr>
          <w:p w14:paraId="7A76C0E0">
            <w:pPr>
              <w:jc w:val="center"/>
              <w:rPr>
                <w:rFonts w:hint="default" w:ascii="Times New Roman" w:hAnsi="Times New Roman" w:eastAsia="宋体" w:cs="Times New Roman"/>
                <w:sz w:val="22"/>
                <w:szCs w:val="28"/>
              </w:rPr>
            </w:pPr>
            <w:bookmarkStart w:id="2" w:name="_Hlk128560291"/>
            <w:r>
              <w:rPr>
                <w:rFonts w:hint="default" w:ascii="Times New Roman" w:hAnsi="Times New Roman" w:eastAsia="宋体" w:cs="Times New Roman"/>
                <w:sz w:val="22"/>
                <w:szCs w:val="28"/>
              </w:rPr>
              <w:t>苯</w:t>
            </w:r>
            <w:bookmarkEnd w:id="2"/>
          </w:p>
        </w:tc>
        <w:tc>
          <w:tcPr>
            <w:tcW w:w="1512" w:type="pct"/>
            <w:shd w:val="clear" w:color="auto" w:fill="auto"/>
            <w:vAlign w:val="center"/>
          </w:tcPr>
          <w:p w14:paraId="4EDC48E1">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21" w:type="pct"/>
            <w:shd w:val="clear" w:color="auto" w:fill="auto"/>
            <w:vAlign w:val="center"/>
          </w:tcPr>
          <w:p w14:paraId="4FB17901">
            <w:pPr>
              <w:jc w:val="center"/>
              <w:rPr>
                <w:rFonts w:hint="default" w:ascii="Times New Roman" w:hAnsi="Times New Roman" w:cs="Times New Roman"/>
                <w:szCs w:val="21"/>
              </w:rPr>
            </w:pPr>
            <w:r>
              <w:rPr>
                <w:rFonts w:hint="default" w:ascii="Times New Roman" w:hAnsi="Times New Roman" w:cs="Times New Roman"/>
                <w:szCs w:val="21"/>
              </w:rPr>
              <w:t>GB 21027—2020</w:t>
            </w:r>
          </w:p>
        </w:tc>
      </w:tr>
      <w:tr w14:paraId="5B839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blHeader/>
          <w:jc w:val="center"/>
        </w:trPr>
        <w:tc>
          <w:tcPr>
            <w:tcW w:w="388" w:type="pct"/>
            <w:vAlign w:val="center"/>
          </w:tcPr>
          <w:p w14:paraId="2680E57D">
            <w:pPr>
              <w:jc w:val="center"/>
              <w:rPr>
                <w:rFonts w:hint="default" w:ascii="Times New Roman" w:hAnsi="Times New Roman" w:cs="Times New Roman"/>
                <w:szCs w:val="21"/>
              </w:rPr>
            </w:pPr>
            <w:r>
              <w:rPr>
                <w:rFonts w:hint="default" w:ascii="Times New Roman" w:hAnsi="Times New Roman" w:cs="Times New Roman"/>
                <w:szCs w:val="21"/>
              </w:rPr>
              <w:t>3</w:t>
            </w:r>
          </w:p>
        </w:tc>
        <w:tc>
          <w:tcPr>
            <w:tcW w:w="1877" w:type="pct"/>
            <w:vAlign w:val="center"/>
          </w:tcPr>
          <w:p w14:paraId="1ABF2CB0">
            <w:pPr>
              <w:jc w:val="center"/>
              <w:rPr>
                <w:rFonts w:hint="default" w:ascii="Times New Roman" w:hAnsi="Times New Roman" w:eastAsia="宋体" w:cs="Times New Roman"/>
                <w:sz w:val="22"/>
                <w:szCs w:val="28"/>
              </w:rPr>
            </w:pPr>
            <w:bookmarkStart w:id="3" w:name="_Hlk128560299"/>
            <w:r>
              <w:rPr>
                <w:rFonts w:hint="default" w:ascii="Times New Roman" w:hAnsi="Times New Roman" w:eastAsia="宋体" w:cs="Times New Roman"/>
                <w:sz w:val="22"/>
                <w:szCs w:val="28"/>
              </w:rPr>
              <w:t>甲苯+二甲苯</w:t>
            </w:r>
            <w:bookmarkEnd w:id="3"/>
          </w:p>
        </w:tc>
        <w:tc>
          <w:tcPr>
            <w:tcW w:w="1512" w:type="pct"/>
            <w:vAlign w:val="center"/>
          </w:tcPr>
          <w:p w14:paraId="72B6A2D8">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21" w:type="pct"/>
            <w:vAlign w:val="center"/>
          </w:tcPr>
          <w:p w14:paraId="50D98F12">
            <w:pPr>
              <w:jc w:val="center"/>
              <w:rPr>
                <w:rFonts w:hint="default" w:ascii="Times New Roman" w:hAnsi="Times New Roman" w:cs="Times New Roman"/>
                <w:szCs w:val="21"/>
              </w:rPr>
            </w:pPr>
            <w:r>
              <w:rPr>
                <w:rFonts w:hint="default" w:ascii="Times New Roman" w:hAnsi="Times New Roman" w:cs="Times New Roman"/>
                <w:szCs w:val="21"/>
              </w:rPr>
              <w:t>GB 21027—2020</w:t>
            </w:r>
          </w:p>
        </w:tc>
      </w:tr>
      <w:tr w14:paraId="152D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388" w:type="pct"/>
            <w:vAlign w:val="center"/>
          </w:tcPr>
          <w:p w14:paraId="17417D2D">
            <w:pPr>
              <w:jc w:val="center"/>
              <w:rPr>
                <w:rFonts w:hint="default" w:ascii="Times New Roman" w:hAnsi="Times New Roman" w:cs="Times New Roman"/>
                <w:szCs w:val="21"/>
              </w:rPr>
            </w:pPr>
            <w:r>
              <w:rPr>
                <w:rFonts w:hint="default" w:ascii="Times New Roman" w:hAnsi="Times New Roman" w:cs="Times New Roman"/>
                <w:szCs w:val="21"/>
              </w:rPr>
              <w:t>4</w:t>
            </w:r>
          </w:p>
        </w:tc>
        <w:tc>
          <w:tcPr>
            <w:tcW w:w="1877" w:type="pct"/>
            <w:vAlign w:val="center"/>
          </w:tcPr>
          <w:p w14:paraId="01375B0B">
            <w:pPr>
              <w:jc w:val="center"/>
              <w:rPr>
                <w:rFonts w:hint="default" w:ascii="Times New Roman" w:hAnsi="Times New Roman" w:eastAsia="宋体" w:cs="Times New Roman"/>
                <w:sz w:val="22"/>
                <w:szCs w:val="28"/>
              </w:rPr>
            </w:pPr>
            <w:bookmarkStart w:id="4" w:name="_Hlk128560306"/>
            <w:r>
              <w:rPr>
                <w:rFonts w:hint="default" w:ascii="Times New Roman" w:hAnsi="Times New Roman" w:eastAsia="宋体" w:cs="Times New Roman"/>
                <w:sz w:val="22"/>
                <w:szCs w:val="28"/>
              </w:rPr>
              <w:t>总挥发性有机物</w:t>
            </w:r>
            <w:bookmarkEnd w:id="4"/>
          </w:p>
        </w:tc>
        <w:tc>
          <w:tcPr>
            <w:tcW w:w="1512" w:type="pct"/>
            <w:vAlign w:val="center"/>
          </w:tcPr>
          <w:p w14:paraId="56350BFB">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21" w:type="pct"/>
            <w:vAlign w:val="center"/>
          </w:tcPr>
          <w:p w14:paraId="56DC3C2C">
            <w:pPr>
              <w:jc w:val="center"/>
              <w:rPr>
                <w:rFonts w:hint="default" w:ascii="Times New Roman" w:hAnsi="Times New Roman" w:cs="Times New Roman"/>
                <w:szCs w:val="21"/>
              </w:rPr>
            </w:pPr>
            <w:r>
              <w:rPr>
                <w:rFonts w:hint="default" w:ascii="Times New Roman" w:hAnsi="Times New Roman" w:cs="Times New Roman"/>
                <w:szCs w:val="21"/>
              </w:rPr>
              <w:t>GB 21027—2020</w:t>
            </w:r>
          </w:p>
        </w:tc>
      </w:tr>
      <w:tr w14:paraId="3C115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165F6EA3">
            <w:pPr>
              <w:jc w:val="center"/>
              <w:rPr>
                <w:rFonts w:hint="default" w:ascii="Times New Roman" w:hAnsi="Times New Roman" w:cs="Times New Roman"/>
                <w:szCs w:val="21"/>
              </w:rPr>
            </w:pPr>
            <w:r>
              <w:rPr>
                <w:rFonts w:hint="default" w:ascii="Times New Roman" w:hAnsi="Times New Roman" w:cs="Times New Roman"/>
                <w:szCs w:val="21"/>
              </w:rPr>
              <w:t>5</w:t>
            </w:r>
          </w:p>
        </w:tc>
        <w:tc>
          <w:tcPr>
            <w:tcW w:w="1877" w:type="pct"/>
            <w:vAlign w:val="center"/>
          </w:tcPr>
          <w:p w14:paraId="1CED3D3B">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丙烯酰胺</w:t>
            </w:r>
          </w:p>
        </w:tc>
        <w:tc>
          <w:tcPr>
            <w:tcW w:w="1512" w:type="pct"/>
            <w:vAlign w:val="center"/>
          </w:tcPr>
          <w:p w14:paraId="6A9C6D54">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21" w:type="pct"/>
            <w:vAlign w:val="center"/>
          </w:tcPr>
          <w:p w14:paraId="1356B821">
            <w:pPr>
              <w:jc w:val="center"/>
              <w:rPr>
                <w:rFonts w:hint="default" w:ascii="Times New Roman" w:hAnsi="Times New Roman" w:cs="Times New Roman"/>
                <w:szCs w:val="21"/>
              </w:rPr>
            </w:pPr>
            <w:r>
              <w:rPr>
                <w:rFonts w:hint="default" w:ascii="Times New Roman" w:hAnsi="Times New Roman" w:cs="Times New Roman"/>
                <w:szCs w:val="21"/>
              </w:rPr>
              <w:t>EN 71—10:2005</w:t>
            </w:r>
          </w:p>
          <w:p w14:paraId="3B2EEE40">
            <w:pPr>
              <w:jc w:val="center"/>
              <w:rPr>
                <w:rFonts w:hint="default" w:ascii="Times New Roman" w:hAnsi="Times New Roman" w:cs="Times New Roman"/>
                <w:szCs w:val="21"/>
              </w:rPr>
            </w:pPr>
            <w:r>
              <w:rPr>
                <w:rFonts w:hint="default" w:ascii="Times New Roman" w:hAnsi="Times New Roman" w:cs="Times New Roman"/>
                <w:szCs w:val="21"/>
              </w:rPr>
              <w:t>EN 71—11:2005</w:t>
            </w:r>
          </w:p>
        </w:tc>
      </w:tr>
      <w:tr w14:paraId="448E1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6770B6A2">
            <w:pPr>
              <w:jc w:val="center"/>
              <w:rPr>
                <w:rFonts w:hint="default" w:ascii="Times New Roman" w:hAnsi="Times New Roman" w:cs="Times New Roman"/>
                <w:szCs w:val="21"/>
              </w:rPr>
            </w:pPr>
            <w:r>
              <w:rPr>
                <w:rFonts w:hint="default" w:ascii="Times New Roman" w:hAnsi="Times New Roman" w:cs="Times New Roman"/>
                <w:szCs w:val="21"/>
              </w:rPr>
              <w:t>6</w:t>
            </w:r>
          </w:p>
        </w:tc>
        <w:tc>
          <w:tcPr>
            <w:tcW w:w="1877" w:type="pct"/>
            <w:vAlign w:val="center"/>
          </w:tcPr>
          <w:p w14:paraId="243A974A">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可触及的塑料件中邻苯二甲酸酯增塑剂的限量</w:t>
            </w:r>
          </w:p>
        </w:tc>
        <w:tc>
          <w:tcPr>
            <w:tcW w:w="1512" w:type="pct"/>
            <w:vAlign w:val="center"/>
          </w:tcPr>
          <w:p w14:paraId="61CA5B9C">
            <w:pPr>
              <w:jc w:val="center"/>
              <w:rPr>
                <w:rFonts w:hint="default" w:ascii="Times New Roman" w:hAnsi="Times New Roman" w:cs="Times New Roman"/>
                <w:kern w:val="0"/>
                <w:szCs w:val="21"/>
              </w:rPr>
            </w:pPr>
            <w:r>
              <w:rPr>
                <w:rFonts w:hint="default" w:ascii="Times New Roman" w:hAnsi="Times New Roman" w:cs="Times New Roman"/>
                <w:color w:val="000000"/>
                <w:szCs w:val="21"/>
              </w:rPr>
              <w:t>GB 21027—2020</w:t>
            </w:r>
          </w:p>
        </w:tc>
        <w:tc>
          <w:tcPr>
            <w:tcW w:w="1221" w:type="pct"/>
            <w:vAlign w:val="center"/>
          </w:tcPr>
          <w:p w14:paraId="0599131F">
            <w:pPr>
              <w:jc w:val="center"/>
              <w:rPr>
                <w:rFonts w:hint="default" w:ascii="Times New Roman" w:hAnsi="Times New Roman" w:cs="Times New Roman"/>
                <w:szCs w:val="21"/>
              </w:rPr>
            </w:pPr>
            <w:r>
              <w:rPr>
                <w:rFonts w:hint="default" w:ascii="Times New Roman" w:hAnsi="Times New Roman" w:cs="Times New Roman"/>
                <w:kern w:val="0"/>
                <w:szCs w:val="21"/>
              </w:rPr>
              <w:t>GB/T 22048</w:t>
            </w:r>
            <w:r>
              <w:rPr>
                <w:rFonts w:hint="default" w:ascii="Times New Roman" w:hAnsi="Times New Roman" w:cs="Times New Roman"/>
                <w:szCs w:val="21"/>
              </w:rPr>
              <w:t>—</w:t>
            </w:r>
            <w:r>
              <w:rPr>
                <w:rFonts w:hint="default" w:ascii="Times New Roman" w:hAnsi="Times New Roman" w:cs="Times New Roman"/>
                <w:kern w:val="0"/>
                <w:szCs w:val="21"/>
              </w:rPr>
              <w:t>2022</w:t>
            </w:r>
          </w:p>
        </w:tc>
      </w:tr>
    </w:tbl>
    <w:p w14:paraId="70C399C9">
      <w:pPr>
        <w:spacing w:line="240" w:lineRule="auto"/>
        <w:ind w:firstLine="440" w:firstLineChars="200"/>
        <w:rPr>
          <w:rFonts w:hint="default" w:ascii="Times New Roman" w:hAnsi="Times New Roman" w:eastAsia="宋体" w:cs="Times New Roman"/>
          <w:sz w:val="22"/>
          <w:szCs w:val="28"/>
        </w:rPr>
      </w:pPr>
    </w:p>
    <w:p w14:paraId="69AD9265">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表9 学生文具（笔袋）</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3418"/>
        <w:gridCol w:w="2724"/>
        <w:gridCol w:w="2213"/>
      </w:tblGrid>
      <w:tr w14:paraId="64BE3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4A035C67">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序号</w:t>
            </w:r>
          </w:p>
        </w:tc>
        <w:tc>
          <w:tcPr>
            <w:tcW w:w="1886" w:type="pct"/>
            <w:vAlign w:val="center"/>
          </w:tcPr>
          <w:p w14:paraId="3196876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检验项目</w:t>
            </w:r>
          </w:p>
        </w:tc>
        <w:tc>
          <w:tcPr>
            <w:tcW w:w="1503" w:type="pct"/>
            <w:vAlign w:val="center"/>
          </w:tcPr>
          <w:p w14:paraId="47487F2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检验依据</w:t>
            </w:r>
          </w:p>
        </w:tc>
        <w:tc>
          <w:tcPr>
            <w:tcW w:w="1221" w:type="pct"/>
            <w:vAlign w:val="center"/>
          </w:tcPr>
          <w:p w14:paraId="78A36CD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检验方法</w:t>
            </w:r>
          </w:p>
        </w:tc>
      </w:tr>
      <w:tr w14:paraId="07CCE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blHeader/>
          <w:jc w:val="center"/>
        </w:trPr>
        <w:tc>
          <w:tcPr>
            <w:tcW w:w="388" w:type="pct"/>
            <w:vAlign w:val="center"/>
          </w:tcPr>
          <w:p w14:paraId="0B41CA70">
            <w:pPr>
              <w:jc w:val="center"/>
              <w:rPr>
                <w:rFonts w:hint="default" w:ascii="Times New Roman" w:hAnsi="Times New Roman" w:cs="Times New Roman"/>
                <w:szCs w:val="21"/>
              </w:rPr>
            </w:pPr>
            <w:r>
              <w:rPr>
                <w:rFonts w:hint="default" w:ascii="Times New Roman" w:hAnsi="Times New Roman" w:cs="Times New Roman"/>
                <w:szCs w:val="21"/>
              </w:rPr>
              <w:t>1</w:t>
            </w:r>
          </w:p>
        </w:tc>
        <w:tc>
          <w:tcPr>
            <w:tcW w:w="1886" w:type="pct"/>
            <w:vAlign w:val="center"/>
          </w:tcPr>
          <w:p w14:paraId="5B27C095">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可迁移元素的限量</w:t>
            </w:r>
          </w:p>
        </w:tc>
        <w:tc>
          <w:tcPr>
            <w:tcW w:w="1503" w:type="pct"/>
            <w:vAlign w:val="center"/>
          </w:tcPr>
          <w:p w14:paraId="70E97951">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21" w:type="pct"/>
            <w:vAlign w:val="center"/>
          </w:tcPr>
          <w:p w14:paraId="0407985A">
            <w:pPr>
              <w:jc w:val="center"/>
              <w:rPr>
                <w:rFonts w:hint="default" w:ascii="Times New Roman" w:hAnsi="Times New Roman" w:cs="Times New Roman"/>
                <w:szCs w:val="21"/>
              </w:rPr>
            </w:pPr>
            <w:r>
              <w:rPr>
                <w:rFonts w:hint="default" w:ascii="Times New Roman" w:hAnsi="Times New Roman" w:cs="Times New Roman"/>
                <w:szCs w:val="21"/>
              </w:rPr>
              <w:t>GB 6675.4—2014</w:t>
            </w:r>
          </w:p>
        </w:tc>
      </w:tr>
      <w:tr w14:paraId="0ED31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0A346261">
            <w:pPr>
              <w:jc w:val="center"/>
              <w:rPr>
                <w:rFonts w:hint="default" w:ascii="Times New Roman" w:hAnsi="Times New Roman" w:cs="Times New Roman"/>
                <w:szCs w:val="21"/>
              </w:rPr>
            </w:pPr>
            <w:r>
              <w:rPr>
                <w:rFonts w:hint="default" w:ascii="Times New Roman" w:hAnsi="Times New Roman" w:cs="Times New Roman"/>
                <w:szCs w:val="21"/>
              </w:rPr>
              <w:t>2</w:t>
            </w:r>
          </w:p>
        </w:tc>
        <w:tc>
          <w:tcPr>
            <w:tcW w:w="1886" w:type="pct"/>
            <w:vAlign w:val="center"/>
          </w:tcPr>
          <w:p w14:paraId="0044416C">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游离甲醛含量</w:t>
            </w:r>
          </w:p>
        </w:tc>
        <w:tc>
          <w:tcPr>
            <w:tcW w:w="1503" w:type="pct"/>
            <w:shd w:val="clear" w:color="auto" w:fill="auto"/>
            <w:vAlign w:val="center"/>
          </w:tcPr>
          <w:p w14:paraId="6411973F">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21" w:type="pct"/>
            <w:shd w:val="clear" w:color="auto" w:fill="auto"/>
            <w:vAlign w:val="center"/>
          </w:tcPr>
          <w:p w14:paraId="53A0C07B">
            <w:pPr>
              <w:jc w:val="center"/>
              <w:rPr>
                <w:rFonts w:hint="default" w:ascii="Times New Roman" w:hAnsi="Times New Roman" w:cs="Times New Roman"/>
                <w:szCs w:val="21"/>
              </w:rPr>
            </w:pPr>
            <w:r>
              <w:rPr>
                <w:rFonts w:hint="default" w:ascii="Times New Roman" w:hAnsi="Times New Roman" w:cs="Times New Roman"/>
                <w:szCs w:val="21"/>
              </w:rPr>
              <w:t>GB/T 32606—2016</w:t>
            </w:r>
          </w:p>
        </w:tc>
      </w:tr>
      <w:tr w14:paraId="27516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266859EE">
            <w:pPr>
              <w:jc w:val="center"/>
              <w:rPr>
                <w:rFonts w:hint="default" w:ascii="Times New Roman" w:hAnsi="Times New Roman" w:cs="Times New Roman"/>
                <w:szCs w:val="21"/>
              </w:rPr>
            </w:pPr>
            <w:r>
              <w:rPr>
                <w:rFonts w:hint="default" w:ascii="Times New Roman" w:hAnsi="Times New Roman" w:cs="Times New Roman"/>
                <w:szCs w:val="21"/>
              </w:rPr>
              <w:t>3</w:t>
            </w:r>
          </w:p>
        </w:tc>
        <w:tc>
          <w:tcPr>
            <w:tcW w:w="1886" w:type="pct"/>
            <w:vAlign w:val="center"/>
          </w:tcPr>
          <w:p w14:paraId="6F46885B">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可分解有害芳香胺染料</w:t>
            </w:r>
          </w:p>
        </w:tc>
        <w:tc>
          <w:tcPr>
            <w:tcW w:w="1503" w:type="pct"/>
            <w:vAlign w:val="center"/>
          </w:tcPr>
          <w:p w14:paraId="39C243E2">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21" w:type="pct"/>
            <w:vAlign w:val="center"/>
          </w:tcPr>
          <w:p w14:paraId="34A158A3">
            <w:pPr>
              <w:jc w:val="center"/>
              <w:rPr>
                <w:rFonts w:hint="default" w:ascii="Times New Roman" w:hAnsi="Times New Roman" w:cs="Times New Roman"/>
                <w:szCs w:val="21"/>
              </w:rPr>
            </w:pPr>
            <w:r>
              <w:rPr>
                <w:rFonts w:hint="default" w:ascii="Times New Roman" w:hAnsi="Times New Roman" w:cs="Times New Roman"/>
                <w:szCs w:val="21"/>
              </w:rPr>
              <w:t>GB/T 17592—2024</w:t>
            </w:r>
          </w:p>
          <w:p w14:paraId="7D12C2D1">
            <w:pPr>
              <w:jc w:val="center"/>
              <w:rPr>
                <w:rFonts w:hint="default" w:ascii="Times New Roman" w:hAnsi="Times New Roman" w:cs="Times New Roman"/>
                <w:szCs w:val="21"/>
              </w:rPr>
            </w:pPr>
            <w:r>
              <w:rPr>
                <w:rFonts w:hint="default" w:ascii="Times New Roman" w:hAnsi="Times New Roman" w:cs="Times New Roman"/>
                <w:szCs w:val="21"/>
              </w:rPr>
              <w:t>GB/T 23344—2009</w:t>
            </w:r>
          </w:p>
        </w:tc>
      </w:tr>
      <w:tr w14:paraId="14601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6C3FC7CA">
            <w:pPr>
              <w:jc w:val="center"/>
              <w:rPr>
                <w:rFonts w:hint="default" w:ascii="Times New Roman" w:hAnsi="Times New Roman" w:cs="Times New Roman"/>
                <w:szCs w:val="21"/>
              </w:rPr>
            </w:pPr>
            <w:r>
              <w:rPr>
                <w:rFonts w:hint="default" w:ascii="Times New Roman" w:hAnsi="Times New Roman" w:cs="Times New Roman"/>
                <w:szCs w:val="21"/>
              </w:rPr>
              <w:t>4</w:t>
            </w:r>
          </w:p>
        </w:tc>
        <w:tc>
          <w:tcPr>
            <w:tcW w:w="1886" w:type="pct"/>
            <w:vAlign w:val="center"/>
          </w:tcPr>
          <w:p w14:paraId="43C25E3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可触及的塑料件中邻苯二甲酸酯增塑剂的限量</w:t>
            </w:r>
          </w:p>
        </w:tc>
        <w:tc>
          <w:tcPr>
            <w:tcW w:w="1503" w:type="pct"/>
            <w:vAlign w:val="center"/>
          </w:tcPr>
          <w:p w14:paraId="472167F3">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21" w:type="pct"/>
            <w:vAlign w:val="center"/>
          </w:tcPr>
          <w:p w14:paraId="3AED2522">
            <w:pPr>
              <w:jc w:val="center"/>
              <w:rPr>
                <w:rFonts w:hint="default" w:ascii="Times New Roman" w:hAnsi="Times New Roman" w:cs="Times New Roman"/>
                <w:szCs w:val="21"/>
              </w:rPr>
            </w:pPr>
            <w:r>
              <w:rPr>
                <w:rFonts w:hint="default" w:ascii="Times New Roman" w:hAnsi="Times New Roman" w:cs="Times New Roman"/>
                <w:kern w:val="0"/>
                <w:szCs w:val="21"/>
              </w:rPr>
              <w:t>GB/T 22048</w:t>
            </w:r>
            <w:r>
              <w:rPr>
                <w:rFonts w:hint="default" w:ascii="Times New Roman" w:hAnsi="Times New Roman" w:cs="Times New Roman"/>
                <w:szCs w:val="21"/>
              </w:rPr>
              <w:t>—</w:t>
            </w:r>
            <w:r>
              <w:rPr>
                <w:rFonts w:hint="default" w:ascii="Times New Roman" w:hAnsi="Times New Roman" w:cs="Times New Roman"/>
                <w:kern w:val="0"/>
                <w:szCs w:val="21"/>
              </w:rPr>
              <w:t>2022</w:t>
            </w:r>
          </w:p>
        </w:tc>
      </w:tr>
    </w:tbl>
    <w:p w14:paraId="16A572AB">
      <w:pPr>
        <w:jc w:val="center"/>
        <w:rPr>
          <w:rFonts w:hint="default" w:ascii="Times New Roman" w:hAnsi="Times New Roman" w:eastAsia="宋体" w:cs="Times New Roman"/>
          <w:sz w:val="22"/>
          <w:szCs w:val="28"/>
        </w:rPr>
      </w:pPr>
    </w:p>
    <w:p w14:paraId="0468BAB8">
      <w:pPr>
        <w:jc w:val="center"/>
        <w:rPr>
          <w:rFonts w:hint="default" w:ascii="Times New Roman" w:hAnsi="Times New Roman" w:eastAsia="宋体" w:cs="Times New Roman"/>
          <w:sz w:val="22"/>
          <w:szCs w:val="28"/>
        </w:rPr>
      </w:pPr>
    </w:p>
    <w:p w14:paraId="22DE19FD">
      <w:pPr>
        <w:jc w:val="center"/>
        <w:rPr>
          <w:rFonts w:hint="default" w:ascii="Times New Roman" w:hAnsi="Times New Roman" w:eastAsia="宋体" w:cs="Times New Roman"/>
          <w:sz w:val="22"/>
          <w:szCs w:val="28"/>
        </w:rPr>
      </w:pPr>
    </w:p>
    <w:p w14:paraId="11269847">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表10 学生文具（卷削类文具、绘图仪尺、学生圆规、文具盒）</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3432"/>
        <w:gridCol w:w="2724"/>
        <w:gridCol w:w="2198"/>
      </w:tblGrid>
      <w:tr w14:paraId="55F38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67E10A9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序号</w:t>
            </w:r>
          </w:p>
        </w:tc>
        <w:tc>
          <w:tcPr>
            <w:tcW w:w="1894" w:type="pct"/>
            <w:vAlign w:val="center"/>
          </w:tcPr>
          <w:p w14:paraId="4927624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检验项目</w:t>
            </w:r>
          </w:p>
        </w:tc>
        <w:tc>
          <w:tcPr>
            <w:tcW w:w="1503" w:type="pct"/>
            <w:vAlign w:val="center"/>
          </w:tcPr>
          <w:p w14:paraId="46DDC2C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检验依据</w:t>
            </w:r>
          </w:p>
        </w:tc>
        <w:tc>
          <w:tcPr>
            <w:tcW w:w="1213" w:type="pct"/>
            <w:vAlign w:val="center"/>
          </w:tcPr>
          <w:p w14:paraId="747914B3">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检验方法</w:t>
            </w:r>
          </w:p>
        </w:tc>
      </w:tr>
      <w:tr w14:paraId="5097C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blHeader/>
          <w:jc w:val="center"/>
        </w:trPr>
        <w:tc>
          <w:tcPr>
            <w:tcW w:w="388" w:type="pct"/>
            <w:vAlign w:val="center"/>
          </w:tcPr>
          <w:p w14:paraId="6AD3843B">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1894" w:type="pct"/>
            <w:vAlign w:val="center"/>
          </w:tcPr>
          <w:p w14:paraId="51D0A875">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可迁移元素的限量</w:t>
            </w:r>
          </w:p>
        </w:tc>
        <w:tc>
          <w:tcPr>
            <w:tcW w:w="1503" w:type="pct"/>
            <w:vAlign w:val="center"/>
          </w:tcPr>
          <w:p w14:paraId="1B92E0EB">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13" w:type="pct"/>
            <w:vAlign w:val="center"/>
          </w:tcPr>
          <w:p w14:paraId="54A1A07C">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 6675.4—2014</w:t>
            </w:r>
          </w:p>
        </w:tc>
      </w:tr>
      <w:tr w14:paraId="0A358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70CCEA16">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1894" w:type="pct"/>
            <w:vAlign w:val="center"/>
          </w:tcPr>
          <w:p w14:paraId="4D52B59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可触及的塑料件中邻苯二甲酸酯增塑剂的限量</w:t>
            </w:r>
          </w:p>
        </w:tc>
        <w:tc>
          <w:tcPr>
            <w:tcW w:w="1503" w:type="pct"/>
            <w:shd w:val="clear" w:color="auto" w:fill="auto"/>
            <w:vAlign w:val="center"/>
          </w:tcPr>
          <w:p w14:paraId="0DD91B9B">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13" w:type="pct"/>
            <w:shd w:val="clear" w:color="auto" w:fill="auto"/>
            <w:vAlign w:val="center"/>
          </w:tcPr>
          <w:p w14:paraId="1849ADDB">
            <w:pPr>
              <w:adjustRightInd w:val="0"/>
              <w:snapToGrid w:val="0"/>
              <w:jc w:val="center"/>
              <w:rPr>
                <w:rFonts w:hint="default" w:ascii="Times New Roman" w:hAnsi="Times New Roman" w:cs="Times New Roman"/>
                <w:szCs w:val="21"/>
              </w:rPr>
            </w:pPr>
            <w:r>
              <w:rPr>
                <w:rFonts w:hint="default" w:ascii="Times New Roman" w:hAnsi="Times New Roman" w:cs="Times New Roman"/>
                <w:kern w:val="0"/>
                <w:szCs w:val="21"/>
              </w:rPr>
              <w:t>GB/T 22048</w:t>
            </w:r>
            <w:r>
              <w:rPr>
                <w:rFonts w:hint="default" w:ascii="Times New Roman" w:hAnsi="Times New Roman" w:cs="Times New Roman"/>
                <w:szCs w:val="21"/>
              </w:rPr>
              <w:t>—</w:t>
            </w:r>
            <w:r>
              <w:rPr>
                <w:rFonts w:hint="default" w:ascii="Times New Roman" w:hAnsi="Times New Roman" w:cs="Times New Roman"/>
                <w:kern w:val="0"/>
                <w:szCs w:val="21"/>
              </w:rPr>
              <w:t>2022</w:t>
            </w:r>
          </w:p>
        </w:tc>
      </w:tr>
      <w:tr w14:paraId="1BB93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22643EAD">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1894" w:type="pct"/>
            <w:vAlign w:val="center"/>
          </w:tcPr>
          <w:p w14:paraId="1537339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边缘、尖端</w:t>
            </w:r>
          </w:p>
        </w:tc>
        <w:tc>
          <w:tcPr>
            <w:tcW w:w="1503" w:type="pct"/>
            <w:vAlign w:val="center"/>
          </w:tcPr>
          <w:p w14:paraId="2FE7A53A">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13" w:type="pct"/>
            <w:vAlign w:val="center"/>
          </w:tcPr>
          <w:p w14:paraId="7985BD95">
            <w:pPr>
              <w:snapToGrid w:val="0"/>
              <w:jc w:val="center"/>
              <w:rPr>
                <w:rFonts w:hint="default" w:ascii="Times New Roman" w:hAnsi="Times New Roman" w:cs="Times New Roman"/>
                <w:szCs w:val="21"/>
              </w:rPr>
            </w:pPr>
            <w:r>
              <w:rPr>
                <w:rFonts w:hint="default" w:ascii="Times New Roman" w:hAnsi="Times New Roman" w:cs="Times New Roman"/>
                <w:szCs w:val="21"/>
              </w:rPr>
              <w:t>GB 6675.2—2014</w:t>
            </w:r>
            <w:r>
              <w:rPr>
                <w:rFonts w:hint="default" w:ascii="Times New Roman" w:hAnsi="Times New Roman" w:cs="Times New Roman"/>
                <w:color w:val="000000"/>
                <w:szCs w:val="21"/>
              </w:rPr>
              <w:t>（</w:t>
            </w:r>
            <w:r>
              <w:rPr>
                <w:rFonts w:hint="default" w:ascii="Times New Roman" w:hAnsi="Times New Roman" w:cs="Times New Roman"/>
                <w:szCs w:val="21"/>
              </w:rPr>
              <w:t>含</w:t>
            </w:r>
          </w:p>
          <w:p w14:paraId="55C504A8">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第1号修改单</w:t>
            </w:r>
            <w:r>
              <w:rPr>
                <w:rFonts w:hint="default" w:ascii="Times New Roman" w:hAnsi="Times New Roman" w:cs="Times New Roman"/>
                <w:color w:val="000000"/>
                <w:szCs w:val="21"/>
              </w:rPr>
              <w:t>）</w:t>
            </w:r>
          </w:p>
        </w:tc>
      </w:tr>
    </w:tbl>
    <w:p w14:paraId="3AEDCE0F">
      <w:pPr>
        <w:spacing w:line="240" w:lineRule="auto"/>
        <w:ind w:firstLine="440" w:firstLineChars="200"/>
        <w:rPr>
          <w:rFonts w:hint="default" w:ascii="Times New Roman" w:hAnsi="Times New Roman" w:eastAsia="宋体" w:cs="Times New Roman"/>
          <w:sz w:val="22"/>
          <w:szCs w:val="28"/>
        </w:rPr>
      </w:pPr>
    </w:p>
    <w:p w14:paraId="5F0CEF3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表11 学生文具（课业簿册）</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3432"/>
        <w:gridCol w:w="2724"/>
        <w:gridCol w:w="2198"/>
      </w:tblGrid>
      <w:tr w14:paraId="44069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759440F4">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序号</w:t>
            </w:r>
          </w:p>
        </w:tc>
        <w:tc>
          <w:tcPr>
            <w:tcW w:w="1894" w:type="pct"/>
            <w:vAlign w:val="center"/>
          </w:tcPr>
          <w:p w14:paraId="5DB8469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检验项目</w:t>
            </w:r>
          </w:p>
        </w:tc>
        <w:tc>
          <w:tcPr>
            <w:tcW w:w="1503" w:type="pct"/>
            <w:vAlign w:val="center"/>
          </w:tcPr>
          <w:p w14:paraId="450FA243">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检验依据</w:t>
            </w:r>
          </w:p>
        </w:tc>
        <w:tc>
          <w:tcPr>
            <w:tcW w:w="1213" w:type="pct"/>
            <w:vAlign w:val="center"/>
          </w:tcPr>
          <w:p w14:paraId="5DF58F2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检验方法</w:t>
            </w:r>
          </w:p>
        </w:tc>
      </w:tr>
      <w:tr w14:paraId="72F3C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388" w:type="pct"/>
            <w:vAlign w:val="center"/>
          </w:tcPr>
          <w:p w14:paraId="1A6812DD">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w:t>
            </w:r>
          </w:p>
        </w:tc>
        <w:tc>
          <w:tcPr>
            <w:tcW w:w="1894" w:type="pct"/>
            <w:vAlign w:val="center"/>
          </w:tcPr>
          <w:p w14:paraId="366D4FBD">
            <w:pPr>
              <w:jc w:val="center"/>
              <w:rPr>
                <w:rFonts w:hint="default" w:ascii="Times New Roman" w:hAnsi="Times New Roman" w:cs="Times New Roman"/>
                <w:szCs w:val="21"/>
              </w:rPr>
            </w:pPr>
            <w:r>
              <w:rPr>
                <w:rFonts w:hint="default" w:ascii="Times New Roman" w:hAnsi="Times New Roman" w:eastAsia="宋体" w:cs="Times New Roman"/>
                <w:sz w:val="22"/>
                <w:szCs w:val="28"/>
              </w:rPr>
              <w:t>可迁移元素的限量</w:t>
            </w:r>
          </w:p>
        </w:tc>
        <w:tc>
          <w:tcPr>
            <w:tcW w:w="1503" w:type="pct"/>
            <w:vAlign w:val="center"/>
          </w:tcPr>
          <w:p w14:paraId="6185A469">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213" w:type="pct"/>
            <w:vAlign w:val="center"/>
          </w:tcPr>
          <w:p w14:paraId="76FAA5D3">
            <w:pPr>
              <w:jc w:val="center"/>
              <w:rPr>
                <w:rFonts w:hint="default" w:ascii="Times New Roman" w:hAnsi="Times New Roman" w:cs="Times New Roman"/>
                <w:szCs w:val="21"/>
              </w:rPr>
            </w:pPr>
            <w:r>
              <w:rPr>
                <w:rFonts w:hint="default" w:ascii="Times New Roman" w:hAnsi="Times New Roman" w:cs="Times New Roman"/>
                <w:szCs w:val="21"/>
              </w:rPr>
              <w:t xml:space="preserve">GB 6675.4—2014 </w:t>
            </w:r>
          </w:p>
        </w:tc>
      </w:tr>
      <w:tr w14:paraId="1DA44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blHeader/>
          <w:jc w:val="center"/>
        </w:trPr>
        <w:tc>
          <w:tcPr>
            <w:tcW w:w="388" w:type="pct"/>
            <w:vAlign w:val="center"/>
          </w:tcPr>
          <w:p w14:paraId="59EBD68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w:t>
            </w:r>
          </w:p>
        </w:tc>
        <w:tc>
          <w:tcPr>
            <w:tcW w:w="1894" w:type="pct"/>
            <w:vAlign w:val="center"/>
          </w:tcPr>
          <w:p w14:paraId="6FA69EF0">
            <w:pPr>
              <w:jc w:val="center"/>
              <w:rPr>
                <w:rFonts w:hint="default" w:ascii="Times New Roman" w:hAnsi="Times New Roman" w:cs="Times New Roman"/>
                <w:szCs w:val="21"/>
              </w:rPr>
            </w:pPr>
            <w:r>
              <w:rPr>
                <w:rFonts w:hint="default" w:ascii="Times New Roman" w:hAnsi="Times New Roman" w:cs="Times New Roman"/>
                <w:szCs w:val="21"/>
              </w:rPr>
              <w:t>D</w:t>
            </w:r>
            <w:r>
              <w:rPr>
                <w:rFonts w:hint="default" w:ascii="Times New Roman" w:hAnsi="Times New Roman" w:cs="Times New Roman"/>
                <w:szCs w:val="21"/>
                <w:vertAlign w:val="subscript"/>
              </w:rPr>
              <w:t>65</w:t>
            </w:r>
            <w:r>
              <w:rPr>
                <w:rFonts w:hint="default" w:ascii="Times New Roman" w:hAnsi="Times New Roman" w:eastAsia="宋体" w:cs="Times New Roman"/>
                <w:sz w:val="22"/>
                <w:szCs w:val="28"/>
              </w:rPr>
              <w:t>亮度</w:t>
            </w:r>
          </w:p>
        </w:tc>
        <w:tc>
          <w:tcPr>
            <w:tcW w:w="1503" w:type="pct"/>
            <w:shd w:val="clear" w:color="auto" w:fill="auto"/>
            <w:vAlign w:val="center"/>
          </w:tcPr>
          <w:p w14:paraId="3674BFC3">
            <w:pPr>
              <w:jc w:val="center"/>
              <w:rPr>
                <w:rFonts w:hint="default" w:ascii="Times New Roman" w:hAnsi="Times New Roman" w:cs="Times New Roman"/>
              </w:rPr>
            </w:pPr>
            <w:r>
              <w:rPr>
                <w:rFonts w:hint="default" w:ascii="Times New Roman" w:hAnsi="Times New Roman" w:cs="Times New Roman"/>
              </w:rPr>
              <w:t>GB 40070—2021</w:t>
            </w:r>
          </w:p>
        </w:tc>
        <w:tc>
          <w:tcPr>
            <w:tcW w:w="1213" w:type="pct"/>
            <w:shd w:val="clear" w:color="auto" w:fill="auto"/>
            <w:vAlign w:val="center"/>
          </w:tcPr>
          <w:p w14:paraId="069C0FDC">
            <w:pPr>
              <w:jc w:val="center"/>
              <w:rPr>
                <w:rFonts w:hint="default" w:ascii="Times New Roman" w:hAnsi="Times New Roman" w:cs="Times New Roman"/>
                <w:szCs w:val="21"/>
              </w:rPr>
            </w:pPr>
            <w:r>
              <w:rPr>
                <w:rFonts w:hint="default" w:ascii="Times New Roman" w:hAnsi="Times New Roman" w:cs="Times New Roman"/>
                <w:szCs w:val="21"/>
              </w:rPr>
              <w:t>GB/T 7974—2013</w:t>
            </w:r>
          </w:p>
        </w:tc>
      </w:tr>
      <w:tr w14:paraId="62FA7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blHeader/>
          <w:jc w:val="center"/>
        </w:trPr>
        <w:tc>
          <w:tcPr>
            <w:tcW w:w="388" w:type="pct"/>
            <w:vAlign w:val="center"/>
          </w:tcPr>
          <w:p w14:paraId="2DFD590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w:t>
            </w:r>
          </w:p>
        </w:tc>
        <w:tc>
          <w:tcPr>
            <w:tcW w:w="1894" w:type="pct"/>
            <w:vAlign w:val="center"/>
          </w:tcPr>
          <w:p w14:paraId="55579AED">
            <w:pPr>
              <w:jc w:val="center"/>
              <w:rPr>
                <w:rFonts w:hint="default" w:ascii="Times New Roman" w:hAnsi="Times New Roman" w:cs="Times New Roman"/>
                <w:szCs w:val="21"/>
              </w:rPr>
            </w:pPr>
            <w:r>
              <w:rPr>
                <w:rFonts w:hint="default" w:ascii="Times New Roman" w:hAnsi="Times New Roman" w:cs="Times New Roman"/>
                <w:szCs w:val="21"/>
              </w:rPr>
              <w:t>D</w:t>
            </w:r>
            <w:r>
              <w:rPr>
                <w:rFonts w:hint="default" w:ascii="Times New Roman" w:hAnsi="Times New Roman" w:cs="Times New Roman"/>
                <w:szCs w:val="21"/>
                <w:vertAlign w:val="subscript"/>
              </w:rPr>
              <w:t>65</w:t>
            </w:r>
            <w:r>
              <w:rPr>
                <w:rFonts w:hint="default" w:ascii="Times New Roman" w:hAnsi="Times New Roman" w:eastAsia="宋体" w:cs="Times New Roman"/>
                <w:sz w:val="22"/>
                <w:szCs w:val="28"/>
              </w:rPr>
              <w:t>荧光亮度</w:t>
            </w:r>
          </w:p>
        </w:tc>
        <w:tc>
          <w:tcPr>
            <w:tcW w:w="1503" w:type="pct"/>
            <w:vAlign w:val="center"/>
          </w:tcPr>
          <w:p w14:paraId="2A8E3F3F">
            <w:pPr>
              <w:jc w:val="center"/>
              <w:rPr>
                <w:rFonts w:hint="default" w:ascii="Times New Roman" w:hAnsi="Times New Roman" w:cs="Times New Roman"/>
              </w:rPr>
            </w:pPr>
            <w:r>
              <w:rPr>
                <w:rFonts w:hint="default" w:ascii="Times New Roman" w:hAnsi="Times New Roman" w:cs="Times New Roman"/>
              </w:rPr>
              <w:t>GB 40070—2021</w:t>
            </w:r>
            <w:bookmarkStart w:id="5" w:name="_GoBack"/>
            <w:bookmarkEnd w:id="5"/>
          </w:p>
        </w:tc>
        <w:tc>
          <w:tcPr>
            <w:tcW w:w="1213" w:type="pct"/>
            <w:vAlign w:val="center"/>
          </w:tcPr>
          <w:p w14:paraId="49ACAB97">
            <w:pPr>
              <w:jc w:val="center"/>
              <w:rPr>
                <w:rFonts w:hint="default" w:ascii="Times New Roman" w:hAnsi="Times New Roman" w:cs="Times New Roman"/>
                <w:szCs w:val="21"/>
              </w:rPr>
            </w:pPr>
            <w:r>
              <w:rPr>
                <w:rFonts w:hint="default" w:ascii="Times New Roman" w:hAnsi="Times New Roman" w:cs="Times New Roman"/>
                <w:szCs w:val="21"/>
              </w:rPr>
              <w:t>GB/T 7974—2013</w:t>
            </w:r>
          </w:p>
        </w:tc>
      </w:tr>
    </w:tbl>
    <w:p w14:paraId="5FBD79B5">
      <w:pPr>
        <w:spacing w:line="240" w:lineRule="auto"/>
        <w:ind w:firstLine="440" w:firstLineChars="200"/>
        <w:rPr>
          <w:rFonts w:hint="default" w:ascii="Times New Roman" w:hAnsi="Times New Roman" w:eastAsia="宋体" w:cs="Times New Roman"/>
          <w:sz w:val="22"/>
          <w:szCs w:val="28"/>
        </w:rPr>
      </w:pPr>
    </w:p>
    <w:p w14:paraId="0C910BBC">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表12 学生文具（书套）</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3401"/>
        <w:gridCol w:w="2880"/>
        <w:gridCol w:w="2073"/>
      </w:tblGrid>
      <w:tr w14:paraId="31CB9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6269BDA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序号</w:t>
            </w:r>
          </w:p>
        </w:tc>
        <w:tc>
          <w:tcPr>
            <w:tcW w:w="1877" w:type="pct"/>
            <w:vAlign w:val="center"/>
          </w:tcPr>
          <w:p w14:paraId="6A0FB315">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检验项目</w:t>
            </w:r>
          </w:p>
        </w:tc>
        <w:tc>
          <w:tcPr>
            <w:tcW w:w="1589" w:type="pct"/>
            <w:vAlign w:val="center"/>
          </w:tcPr>
          <w:p w14:paraId="51054C3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检验依据</w:t>
            </w:r>
          </w:p>
        </w:tc>
        <w:tc>
          <w:tcPr>
            <w:tcW w:w="1144" w:type="pct"/>
            <w:vAlign w:val="center"/>
          </w:tcPr>
          <w:p w14:paraId="015500CB">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检验方法</w:t>
            </w:r>
          </w:p>
        </w:tc>
      </w:tr>
      <w:tr w14:paraId="37280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blHeader/>
          <w:jc w:val="center"/>
        </w:trPr>
        <w:tc>
          <w:tcPr>
            <w:tcW w:w="388" w:type="pct"/>
            <w:vAlign w:val="center"/>
          </w:tcPr>
          <w:p w14:paraId="5406F3AD">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w:t>
            </w:r>
          </w:p>
        </w:tc>
        <w:tc>
          <w:tcPr>
            <w:tcW w:w="1877" w:type="pct"/>
            <w:vAlign w:val="center"/>
          </w:tcPr>
          <w:p w14:paraId="32B27907">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可迁移元素的限量</w:t>
            </w:r>
          </w:p>
        </w:tc>
        <w:tc>
          <w:tcPr>
            <w:tcW w:w="1589" w:type="pct"/>
            <w:vAlign w:val="center"/>
          </w:tcPr>
          <w:p w14:paraId="65EBF402">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144" w:type="pct"/>
            <w:vAlign w:val="center"/>
          </w:tcPr>
          <w:p w14:paraId="1B7A0CA1">
            <w:pPr>
              <w:jc w:val="center"/>
              <w:rPr>
                <w:rFonts w:hint="default" w:ascii="Times New Roman" w:hAnsi="Times New Roman" w:cs="Times New Roman"/>
                <w:szCs w:val="21"/>
              </w:rPr>
            </w:pPr>
            <w:r>
              <w:rPr>
                <w:rFonts w:hint="default" w:ascii="Times New Roman" w:hAnsi="Times New Roman" w:cs="Times New Roman"/>
                <w:szCs w:val="21"/>
              </w:rPr>
              <w:t>GB 6675.4—2014</w:t>
            </w:r>
          </w:p>
        </w:tc>
      </w:tr>
      <w:tr w14:paraId="7C4F2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1600AA4A">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w:t>
            </w:r>
          </w:p>
        </w:tc>
        <w:tc>
          <w:tcPr>
            <w:tcW w:w="1877" w:type="pct"/>
            <w:vAlign w:val="center"/>
          </w:tcPr>
          <w:p w14:paraId="2054C5CB">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可触及的塑料件中邻苯二甲酸酯增塑剂的限量</w:t>
            </w:r>
          </w:p>
        </w:tc>
        <w:tc>
          <w:tcPr>
            <w:tcW w:w="1589" w:type="pct"/>
            <w:shd w:val="clear" w:color="auto" w:fill="auto"/>
            <w:vAlign w:val="center"/>
          </w:tcPr>
          <w:p w14:paraId="1DE04D28">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144" w:type="pct"/>
            <w:shd w:val="clear" w:color="auto" w:fill="auto"/>
            <w:vAlign w:val="center"/>
          </w:tcPr>
          <w:p w14:paraId="7F91CE94">
            <w:pPr>
              <w:jc w:val="center"/>
              <w:rPr>
                <w:rFonts w:hint="default" w:ascii="Times New Roman" w:hAnsi="Times New Roman" w:cs="Times New Roman"/>
                <w:szCs w:val="21"/>
              </w:rPr>
            </w:pPr>
            <w:r>
              <w:rPr>
                <w:rFonts w:hint="default" w:ascii="Times New Roman" w:hAnsi="Times New Roman" w:cs="Times New Roman"/>
                <w:kern w:val="0"/>
                <w:szCs w:val="21"/>
              </w:rPr>
              <w:t>GB/T 22048</w:t>
            </w:r>
            <w:r>
              <w:rPr>
                <w:rFonts w:hint="default" w:ascii="Times New Roman" w:hAnsi="Times New Roman" w:cs="Times New Roman"/>
                <w:szCs w:val="21"/>
              </w:rPr>
              <w:t>—</w:t>
            </w:r>
            <w:r>
              <w:rPr>
                <w:rFonts w:hint="default" w:ascii="Times New Roman" w:hAnsi="Times New Roman" w:cs="Times New Roman"/>
                <w:kern w:val="0"/>
                <w:szCs w:val="21"/>
              </w:rPr>
              <w:t>2022</w:t>
            </w:r>
          </w:p>
        </w:tc>
      </w:tr>
    </w:tbl>
    <w:p w14:paraId="25FB0AB6">
      <w:pPr>
        <w:spacing w:line="240" w:lineRule="auto"/>
        <w:ind w:firstLine="440" w:firstLineChars="200"/>
        <w:rPr>
          <w:rFonts w:hint="default" w:ascii="Times New Roman" w:hAnsi="Times New Roman" w:eastAsia="宋体" w:cs="Times New Roman"/>
          <w:sz w:val="22"/>
          <w:szCs w:val="28"/>
        </w:rPr>
      </w:pPr>
    </w:p>
    <w:p w14:paraId="3EC53371">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表13 学生文具（彩泥）</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3432"/>
        <w:gridCol w:w="2849"/>
        <w:gridCol w:w="2073"/>
      </w:tblGrid>
      <w:tr w14:paraId="51D88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50B5A20F">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序号</w:t>
            </w:r>
          </w:p>
        </w:tc>
        <w:tc>
          <w:tcPr>
            <w:tcW w:w="1894" w:type="pct"/>
            <w:vAlign w:val="center"/>
          </w:tcPr>
          <w:p w14:paraId="7CAFBE6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检验项目</w:t>
            </w:r>
          </w:p>
        </w:tc>
        <w:tc>
          <w:tcPr>
            <w:tcW w:w="1572" w:type="pct"/>
            <w:vAlign w:val="center"/>
          </w:tcPr>
          <w:p w14:paraId="24E5B25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检验依据</w:t>
            </w:r>
          </w:p>
        </w:tc>
        <w:tc>
          <w:tcPr>
            <w:tcW w:w="1144" w:type="pct"/>
            <w:vAlign w:val="center"/>
          </w:tcPr>
          <w:p w14:paraId="6202E7E3">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检验方法</w:t>
            </w:r>
          </w:p>
        </w:tc>
      </w:tr>
      <w:tr w14:paraId="4DF92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388" w:type="pct"/>
            <w:vAlign w:val="center"/>
          </w:tcPr>
          <w:p w14:paraId="7CF981A3">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1894" w:type="pct"/>
            <w:vAlign w:val="center"/>
          </w:tcPr>
          <w:p w14:paraId="789E92F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可迁移元素的限量</w:t>
            </w:r>
          </w:p>
        </w:tc>
        <w:tc>
          <w:tcPr>
            <w:tcW w:w="1572" w:type="pct"/>
            <w:vAlign w:val="center"/>
          </w:tcPr>
          <w:p w14:paraId="402BAAA1">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144" w:type="pct"/>
            <w:vAlign w:val="center"/>
          </w:tcPr>
          <w:p w14:paraId="52C7A329">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 6675.4—2014</w:t>
            </w:r>
          </w:p>
        </w:tc>
      </w:tr>
      <w:tr w14:paraId="6ADE5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56F326FD">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1894" w:type="pct"/>
            <w:vAlign w:val="center"/>
          </w:tcPr>
          <w:p w14:paraId="576BFD74">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可触及的塑料件中邻苯二甲酸酯增塑剂的限量</w:t>
            </w:r>
          </w:p>
        </w:tc>
        <w:tc>
          <w:tcPr>
            <w:tcW w:w="1572" w:type="pct"/>
            <w:shd w:val="clear" w:color="auto" w:fill="auto"/>
            <w:vAlign w:val="center"/>
          </w:tcPr>
          <w:p w14:paraId="79BBDB90">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144" w:type="pct"/>
            <w:shd w:val="clear" w:color="auto" w:fill="auto"/>
            <w:vAlign w:val="center"/>
          </w:tcPr>
          <w:p w14:paraId="59B0D6F0">
            <w:pPr>
              <w:adjustRightInd w:val="0"/>
              <w:snapToGrid w:val="0"/>
              <w:jc w:val="center"/>
              <w:rPr>
                <w:rFonts w:hint="default" w:ascii="Times New Roman" w:hAnsi="Times New Roman" w:cs="Times New Roman"/>
                <w:szCs w:val="21"/>
              </w:rPr>
            </w:pPr>
            <w:r>
              <w:rPr>
                <w:rFonts w:hint="default" w:ascii="Times New Roman" w:hAnsi="Times New Roman" w:cs="Times New Roman"/>
                <w:kern w:val="0"/>
                <w:szCs w:val="21"/>
              </w:rPr>
              <w:t>GB/T 22048</w:t>
            </w:r>
            <w:r>
              <w:rPr>
                <w:rFonts w:hint="default" w:ascii="Times New Roman" w:hAnsi="Times New Roman" w:cs="Times New Roman"/>
                <w:szCs w:val="21"/>
              </w:rPr>
              <w:t>—</w:t>
            </w:r>
            <w:r>
              <w:rPr>
                <w:rFonts w:hint="default" w:ascii="Times New Roman" w:hAnsi="Times New Roman" w:cs="Times New Roman"/>
                <w:kern w:val="0"/>
                <w:szCs w:val="21"/>
              </w:rPr>
              <w:t>2022</w:t>
            </w:r>
          </w:p>
        </w:tc>
      </w:tr>
      <w:tr w14:paraId="50DDF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jc w:val="center"/>
        </w:trPr>
        <w:tc>
          <w:tcPr>
            <w:tcW w:w="388" w:type="pct"/>
            <w:vAlign w:val="center"/>
          </w:tcPr>
          <w:p w14:paraId="452CCD88">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1894" w:type="pct"/>
            <w:vAlign w:val="center"/>
          </w:tcPr>
          <w:p w14:paraId="257F2DA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游离甲醛的限量</w:t>
            </w:r>
          </w:p>
        </w:tc>
        <w:tc>
          <w:tcPr>
            <w:tcW w:w="1572" w:type="pct"/>
            <w:vAlign w:val="center"/>
          </w:tcPr>
          <w:p w14:paraId="42ECE7A7">
            <w:pPr>
              <w:adjustRightInd w:val="0"/>
              <w:snapToGrid w:val="0"/>
              <w:jc w:val="center"/>
              <w:rPr>
                <w:rFonts w:hint="default" w:ascii="Times New Roman" w:hAnsi="Times New Roman" w:cs="Times New Roman"/>
                <w:szCs w:val="21"/>
              </w:rPr>
            </w:pPr>
            <w:r>
              <w:rPr>
                <w:rFonts w:hint="default" w:ascii="Times New Roman" w:hAnsi="Times New Roman" w:cs="Times New Roman"/>
                <w:color w:val="000000"/>
                <w:szCs w:val="21"/>
              </w:rPr>
              <w:t>GB 21027—2020</w:t>
            </w:r>
          </w:p>
        </w:tc>
        <w:tc>
          <w:tcPr>
            <w:tcW w:w="1144" w:type="pct"/>
            <w:vAlign w:val="center"/>
          </w:tcPr>
          <w:p w14:paraId="79A7C458">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32606—2016</w:t>
            </w:r>
          </w:p>
        </w:tc>
      </w:tr>
    </w:tbl>
    <w:p w14:paraId="3CDDB9E1">
      <w:pPr>
        <w:spacing w:line="240" w:lineRule="auto"/>
        <w:rPr>
          <w:rFonts w:hint="default" w:ascii="Times New Roman" w:hAnsi="Times New Roman" w:eastAsia="宋体" w:cs="Times New Roman"/>
          <w:sz w:val="22"/>
          <w:szCs w:val="28"/>
        </w:rPr>
      </w:pPr>
    </w:p>
    <w:p w14:paraId="6C65BC71">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表14 学生文具（墨水）</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3416"/>
        <w:gridCol w:w="2880"/>
        <w:gridCol w:w="2058"/>
      </w:tblGrid>
      <w:tr w14:paraId="056D4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624C9E7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序号</w:t>
            </w:r>
          </w:p>
        </w:tc>
        <w:tc>
          <w:tcPr>
            <w:tcW w:w="1885" w:type="pct"/>
            <w:vAlign w:val="center"/>
          </w:tcPr>
          <w:p w14:paraId="1C42A291">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检验项目</w:t>
            </w:r>
          </w:p>
        </w:tc>
        <w:tc>
          <w:tcPr>
            <w:tcW w:w="1589" w:type="pct"/>
            <w:vAlign w:val="center"/>
          </w:tcPr>
          <w:p w14:paraId="4C89442C">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检验依据</w:t>
            </w:r>
          </w:p>
        </w:tc>
        <w:tc>
          <w:tcPr>
            <w:tcW w:w="1135" w:type="pct"/>
            <w:vAlign w:val="center"/>
          </w:tcPr>
          <w:p w14:paraId="23195391">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检验方法</w:t>
            </w:r>
          </w:p>
        </w:tc>
      </w:tr>
      <w:tr w14:paraId="0C385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38179F71">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1885" w:type="pct"/>
            <w:vAlign w:val="center"/>
          </w:tcPr>
          <w:p w14:paraId="3D221BF3">
            <w:pPr>
              <w:jc w:val="center"/>
              <w:rPr>
                <w:rFonts w:hint="default" w:ascii="Times New Roman" w:hAnsi="Times New Roman" w:cs="Times New Roman"/>
                <w:szCs w:val="21"/>
              </w:rPr>
            </w:pPr>
            <w:r>
              <w:rPr>
                <w:rFonts w:hint="default" w:ascii="Times New Roman" w:hAnsi="Times New Roman" w:eastAsia="宋体" w:cs="Times New Roman"/>
                <w:sz w:val="22"/>
                <w:szCs w:val="28"/>
              </w:rPr>
              <w:t>可迁移元素的限量</w:t>
            </w:r>
          </w:p>
        </w:tc>
        <w:tc>
          <w:tcPr>
            <w:tcW w:w="1589" w:type="pct"/>
            <w:vAlign w:val="center"/>
          </w:tcPr>
          <w:p w14:paraId="5D410780">
            <w:pPr>
              <w:jc w:val="center"/>
              <w:rPr>
                <w:rFonts w:hint="default" w:ascii="Times New Roman" w:hAnsi="Times New Roman" w:cs="Times New Roman"/>
              </w:rPr>
            </w:pPr>
            <w:r>
              <w:rPr>
                <w:rFonts w:hint="default" w:ascii="Times New Roman" w:hAnsi="Times New Roman" w:cs="Times New Roman"/>
                <w:color w:val="000000"/>
                <w:szCs w:val="21"/>
              </w:rPr>
              <w:t>GB 21027—2020</w:t>
            </w:r>
          </w:p>
        </w:tc>
        <w:tc>
          <w:tcPr>
            <w:tcW w:w="1135" w:type="pct"/>
            <w:vAlign w:val="center"/>
          </w:tcPr>
          <w:p w14:paraId="60981E1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 6675.4—2014</w:t>
            </w:r>
          </w:p>
        </w:tc>
      </w:tr>
    </w:tbl>
    <w:p w14:paraId="5807F8B4">
      <w:pPr>
        <w:spacing w:line="240" w:lineRule="auto"/>
        <w:rPr>
          <w:rFonts w:hint="default" w:ascii="Times New Roman" w:hAnsi="Times New Roman" w:eastAsia="宋体" w:cs="Times New Roman"/>
          <w:sz w:val="22"/>
          <w:szCs w:val="28"/>
        </w:rPr>
      </w:pPr>
    </w:p>
    <w:p w14:paraId="0E569696">
      <w:pPr>
        <w:spacing w:line="520" w:lineRule="exact"/>
        <w:rPr>
          <w:rFonts w:hint="default" w:ascii="Times New Roman" w:hAnsi="Times New Roman" w:eastAsia="宋体" w:cs="Times New Roman"/>
          <w:sz w:val="22"/>
          <w:szCs w:val="28"/>
        </w:rPr>
      </w:pPr>
    </w:p>
    <w:p w14:paraId="1175BA22">
      <w:pPr>
        <w:spacing w:line="520" w:lineRule="exact"/>
        <w:rPr>
          <w:rFonts w:hint="default" w:ascii="Times New Roman" w:hAnsi="Times New Roman" w:eastAsia="宋体" w:cs="Times New Roman"/>
          <w:sz w:val="22"/>
          <w:szCs w:val="28"/>
        </w:rPr>
      </w:pPr>
    </w:p>
    <w:p w14:paraId="0852C2EF">
      <w:pPr>
        <w:spacing w:line="520" w:lineRule="exact"/>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2.2学生书包</w:t>
      </w:r>
    </w:p>
    <w:p w14:paraId="25909E06">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表15 学生书袋</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1871"/>
        <w:gridCol w:w="1532"/>
        <w:gridCol w:w="2439"/>
        <w:gridCol w:w="2441"/>
      </w:tblGrid>
      <w:tr w14:paraId="11470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9" w:type="pct"/>
            <w:vAlign w:val="center"/>
          </w:tcPr>
          <w:p w14:paraId="14B24D5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序号</w:t>
            </w:r>
          </w:p>
        </w:tc>
        <w:tc>
          <w:tcPr>
            <w:tcW w:w="1877" w:type="pct"/>
            <w:gridSpan w:val="2"/>
            <w:vAlign w:val="center"/>
          </w:tcPr>
          <w:p w14:paraId="104CB4C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检验项目</w:t>
            </w:r>
          </w:p>
        </w:tc>
        <w:tc>
          <w:tcPr>
            <w:tcW w:w="1345" w:type="pct"/>
            <w:vAlign w:val="center"/>
          </w:tcPr>
          <w:p w14:paraId="3C68FEA1">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检验依据</w:t>
            </w:r>
          </w:p>
        </w:tc>
        <w:tc>
          <w:tcPr>
            <w:tcW w:w="1346" w:type="pct"/>
            <w:vAlign w:val="center"/>
          </w:tcPr>
          <w:p w14:paraId="2ED3A88F">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检验方法</w:t>
            </w:r>
          </w:p>
        </w:tc>
      </w:tr>
      <w:tr w14:paraId="1B8C1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9" w:type="pct"/>
            <w:vAlign w:val="center"/>
          </w:tcPr>
          <w:p w14:paraId="54E94FB1">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w:t>
            </w:r>
          </w:p>
        </w:tc>
        <w:tc>
          <w:tcPr>
            <w:tcW w:w="1877" w:type="pct"/>
            <w:gridSpan w:val="2"/>
            <w:vAlign w:val="center"/>
          </w:tcPr>
          <w:p w14:paraId="3F8E9E35">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负重</w:t>
            </w:r>
          </w:p>
        </w:tc>
        <w:tc>
          <w:tcPr>
            <w:tcW w:w="1345" w:type="pct"/>
            <w:vAlign w:val="center"/>
          </w:tcPr>
          <w:p w14:paraId="3017881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QB/T 2858—2007</w:t>
            </w:r>
          </w:p>
        </w:tc>
        <w:tc>
          <w:tcPr>
            <w:tcW w:w="1346" w:type="pct"/>
            <w:vAlign w:val="center"/>
          </w:tcPr>
          <w:p w14:paraId="251CE96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QB/T 2858—2007</w:t>
            </w:r>
          </w:p>
        </w:tc>
      </w:tr>
      <w:tr w14:paraId="17443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9" w:type="pct"/>
            <w:vAlign w:val="center"/>
          </w:tcPr>
          <w:p w14:paraId="3EEB5895">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w:t>
            </w:r>
          </w:p>
        </w:tc>
        <w:tc>
          <w:tcPr>
            <w:tcW w:w="1877" w:type="pct"/>
            <w:gridSpan w:val="2"/>
            <w:vAlign w:val="center"/>
          </w:tcPr>
          <w:p w14:paraId="5A2D57A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缝合强度</w:t>
            </w:r>
          </w:p>
        </w:tc>
        <w:tc>
          <w:tcPr>
            <w:tcW w:w="1345" w:type="pct"/>
            <w:vAlign w:val="center"/>
          </w:tcPr>
          <w:p w14:paraId="2F72C0BC">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QB/T 2858—2007</w:t>
            </w:r>
          </w:p>
        </w:tc>
        <w:tc>
          <w:tcPr>
            <w:tcW w:w="1346" w:type="pct"/>
            <w:vAlign w:val="center"/>
          </w:tcPr>
          <w:p w14:paraId="6016CFB4">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QB/T 2858—2007</w:t>
            </w:r>
          </w:p>
        </w:tc>
      </w:tr>
      <w:tr w14:paraId="5CC3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9" w:type="pct"/>
            <w:vMerge w:val="restart"/>
            <w:vAlign w:val="center"/>
          </w:tcPr>
          <w:p w14:paraId="0A7A3777">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w:t>
            </w:r>
          </w:p>
        </w:tc>
        <w:tc>
          <w:tcPr>
            <w:tcW w:w="1032" w:type="pct"/>
            <w:vMerge w:val="restart"/>
            <w:vAlign w:val="center"/>
          </w:tcPr>
          <w:p w14:paraId="063C552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旅行式拉杆书袋滑轮和拉杆</w:t>
            </w:r>
          </w:p>
        </w:tc>
        <w:tc>
          <w:tcPr>
            <w:tcW w:w="845" w:type="pct"/>
            <w:vAlign w:val="center"/>
          </w:tcPr>
          <w:p w14:paraId="4287348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拉杆长度</w:t>
            </w:r>
          </w:p>
        </w:tc>
        <w:tc>
          <w:tcPr>
            <w:tcW w:w="1345" w:type="pct"/>
            <w:vAlign w:val="center"/>
          </w:tcPr>
          <w:p w14:paraId="079AF46F">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QB/T 2858—2007</w:t>
            </w:r>
          </w:p>
        </w:tc>
        <w:tc>
          <w:tcPr>
            <w:tcW w:w="1346" w:type="pct"/>
            <w:vMerge w:val="restart"/>
            <w:vAlign w:val="center"/>
          </w:tcPr>
          <w:p w14:paraId="52EA63A5">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QB/T 2858—2007</w:t>
            </w:r>
          </w:p>
        </w:tc>
      </w:tr>
      <w:tr w14:paraId="06FC9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9" w:type="pct"/>
            <w:vMerge w:val="continue"/>
            <w:vAlign w:val="center"/>
          </w:tcPr>
          <w:p w14:paraId="402467BE">
            <w:pPr>
              <w:jc w:val="center"/>
              <w:rPr>
                <w:rFonts w:hint="default" w:ascii="Times New Roman" w:hAnsi="Times New Roman" w:eastAsia="宋体" w:cs="Times New Roman"/>
                <w:sz w:val="22"/>
                <w:szCs w:val="28"/>
              </w:rPr>
            </w:pPr>
          </w:p>
        </w:tc>
        <w:tc>
          <w:tcPr>
            <w:tcW w:w="1032" w:type="pct"/>
            <w:vMerge w:val="continue"/>
            <w:vAlign w:val="center"/>
          </w:tcPr>
          <w:p w14:paraId="74DDCA1A">
            <w:pPr>
              <w:jc w:val="center"/>
              <w:rPr>
                <w:rFonts w:hint="default" w:ascii="Times New Roman" w:hAnsi="Times New Roman" w:eastAsia="宋体" w:cs="Times New Roman"/>
                <w:sz w:val="22"/>
                <w:szCs w:val="28"/>
              </w:rPr>
            </w:pPr>
          </w:p>
        </w:tc>
        <w:tc>
          <w:tcPr>
            <w:tcW w:w="845" w:type="pct"/>
            <w:vAlign w:val="center"/>
          </w:tcPr>
          <w:p w14:paraId="7A1832D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拉杆形状</w:t>
            </w:r>
          </w:p>
        </w:tc>
        <w:tc>
          <w:tcPr>
            <w:tcW w:w="1345" w:type="pct"/>
            <w:vAlign w:val="center"/>
          </w:tcPr>
          <w:p w14:paraId="24091EA5">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QB/T 2858—2007</w:t>
            </w:r>
          </w:p>
        </w:tc>
        <w:tc>
          <w:tcPr>
            <w:tcW w:w="1346" w:type="pct"/>
            <w:vMerge w:val="continue"/>
            <w:vAlign w:val="center"/>
          </w:tcPr>
          <w:p w14:paraId="22B883A6">
            <w:pPr>
              <w:jc w:val="center"/>
              <w:rPr>
                <w:rFonts w:hint="default" w:ascii="Times New Roman" w:hAnsi="Times New Roman" w:eastAsia="宋体" w:cs="Times New Roman"/>
                <w:sz w:val="22"/>
                <w:szCs w:val="28"/>
              </w:rPr>
            </w:pPr>
          </w:p>
        </w:tc>
      </w:tr>
      <w:tr w14:paraId="55944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9" w:type="pct"/>
            <w:vMerge w:val="continue"/>
            <w:vAlign w:val="center"/>
          </w:tcPr>
          <w:p w14:paraId="561D007E">
            <w:pPr>
              <w:jc w:val="center"/>
              <w:rPr>
                <w:rFonts w:hint="default" w:ascii="Times New Roman" w:hAnsi="Times New Roman" w:eastAsia="宋体" w:cs="Times New Roman"/>
                <w:sz w:val="22"/>
                <w:szCs w:val="28"/>
              </w:rPr>
            </w:pPr>
          </w:p>
        </w:tc>
        <w:tc>
          <w:tcPr>
            <w:tcW w:w="1032" w:type="pct"/>
            <w:vMerge w:val="continue"/>
            <w:vAlign w:val="center"/>
          </w:tcPr>
          <w:p w14:paraId="4E17FB53">
            <w:pPr>
              <w:jc w:val="center"/>
              <w:rPr>
                <w:rFonts w:hint="default" w:ascii="Times New Roman" w:hAnsi="Times New Roman" w:eastAsia="宋体" w:cs="Times New Roman"/>
                <w:sz w:val="22"/>
                <w:szCs w:val="28"/>
              </w:rPr>
            </w:pPr>
          </w:p>
        </w:tc>
        <w:tc>
          <w:tcPr>
            <w:tcW w:w="845" w:type="pct"/>
            <w:vAlign w:val="center"/>
          </w:tcPr>
          <w:p w14:paraId="7650D93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护脊装置</w:t>
            </w:r>
          </w:p>
        </w:tc>
        <w:tc>
          <w:tcPr>
            <w:tcW w:w="1345" w:type="pct"/>
            <w:vAlign w:val="center"/>
          </w:tcPr>
          <w:p w14:paraId="4EF155DC">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QB/T 2858—2007</w:t>
            </w:r>
          </w:p>
        </w:tc>
        <w:tc>
          <w:tcPr>
            <w:tcW w:w="1346" w:type="pct"/>
            <w:vMerge w:val="continue"/>
            <w:vAlign w:val="center"/>
          </w:tcPr>
          <w:p w14:paraId="1181AD1F">
            <w:pPr>
              <w:jc w:val="center"/>
              <w:rPr>
                <w:rFonts w:hint="default" w:ascii="Times New Roman" w:hAnsi="Times New Roman" w:eastAsia="宋体" w:cs="Times New Roman"/>
                <w:sz w:val="22"/>
                <w:szCs w:val="28"/>
              </w:rPr>
            </w:pPr>
          </w:p>
        </w:tc>
      </w:tr>
      <w:tr w14:paraId="300ED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9" w:type="pct"/>
            <w:vMerge w:val="continue"/>
            <w:vAlign w:val="center"/>
          </w:tcPr>
          <w:p w14:paraId="033CE6FF">
            <w:pPr>
              <w:jc w:val="center"/>
              <w:rPr>
                <w:rFonts w:hint="default" w:ascii="Times New Roman" w:hAnsi="Times New Roman" w:eastAsia="宋体" w:cs="Times New Roman"/>
                <w:sz w:val="22"/>
                <w:szCs w:val="28"/>
              </w:rPr>
            </w:pPr>
          </w:p>
        </w:tc>
        <w:tc>
          <w:tcPr>
            <w:tcW w:w="1032" w:type="pct"/>
            <w:vMerge w:val="continue"/>
            <w:vAlign w:val="center"/>
          </w:tcPr>
          <w:p w14:paraId="2BDB3A09">
            <w:pPr>
              <w:jc w:val="center"/>
              <w:rPr>
                <w:rFonts w:hint="default" w:ascii="Times New Roman" w:hAnsi="Times New Roman" w:eastAsia="宋体" w:cs="Times New Roman"/>
                <w:sz w:val="22"/>
                <w:szCs w:val="28"/>
              </w:rPr>
            </w:pPr>
          </w:p>
        </w:tc>
        <w:tc>
          <w:tcPr>
            <w:tcW w:w="845" w:type="pct"/>
            <w:vAlign w:val="center"/>
          </w:tcPr>
          <w:p w14:paraId="1457A6EF">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可靠性</w:t>
            </w:r>
          </w:p>
        </w:tc>
        <w:tc>
          <w:tcPr>
            <w:tcW w:w="1345" w:type="pct"/>
            <w:vAlign w:val="center"/>
          </w:tcPr>
          <w:p w14:paraId="2D0A8DED">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QB/T 2858—2007</w:t>
            </w:r>
          </w:p>
        </w:tc>
        <w:tc>
          <w:tcPr>
            <w:tcW w:w="1346" w:type="pct"/>
            <w:vMerge w:val="continue"/>
            <w:vAlign w:val="center"/>
          </w:tcPr>
          <w:p w14:paraId="39B2089A">
            <w:pPr>
              <w:jc w:val="center"/>
              <w:rPr>
                <w:rFonts w:hint="default" w:ascii="Times New Roman" w:hAnsi="Times New Roman" w:eastAsia="宋体" w:cs="Times New Roman"/>
                <w:sz w:val="22"/>
                <w:szCs w:val="28"/>
              </w:rPr>
            </w:pPr>
          </w:p>
        </w:tc>
      </w:tr>
      <w:tr w14:paraId="24EBE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9" w:type="pct"/>
            <w:vMerge w:val="restart"/>
            <w:vAlign w:val="center"/>
          </w:tcPr>
          <w:p w14:paraId="746C4C3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4</w:t>
            </w:r>
          </w:p>
        </w:tc>
        <w:tc>
          <w:tcPr>
            <w:tcW w:w="1032" w:type="pct"/>
            <w:vMerge w:val="restart"/>
            <w:vAlign w:val="center"/>
          </w:tcPr>
          <w:p w14:paraId="10BA48BA">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背带类书袋的性能</w:t>
            </w:r>
          </w:p>
        </w:tc>
        <w:tc>
          <w:tcPr>
            <w:tcW w:w="845" w:type="pct"/>
            <w:vAlign w:val="center"/>
          </w:tcPr>
          <w:p w14:paraId="767FBDD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舒适度</w:t>
            </w:r>
          </w:p>
        </w:tc>
        <w:tc>
          <w:tcPr>
            <w:tcW w:w="1345" w:type="pct"/>
            <w:vAlign w:val="center"/>
          </w:tcPr>
          <w:p w14:paraId="40F353D1">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QB/T 2858—2007</w:t>
            </w:r>
          </w:p>
        </w:tc>
        <w:tc>
          <w:tcPr>
            <w:tcW w:w="1346" w:type="pct"/>
            <w:vMerge w:val="restart"/>
            <w:vAlign w:val="center"/>
          </w:tcPr>
          <w:p w14:paraId="083EEE87">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QB/T 2858—2007</w:t>
            </w:r>
          </w:p>
        </w:tc>
      </w:tr>
      <w:tr w14:paraId="6B579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9" w:type="pct"/>
            <w:vMerge w:val="continue"/>
            <w:vAlign w:val="center"/>
          </w:tcPr>
          <w:p w14:paraId="34603F84">
            <w:pPr>
              <w:jc w:val="center"/>
              <w:rPr>
                <w:rFonts w:hint="default" w:ascii="Times New Roman" w:hAnsi="Times New Roman" w:eastAsia="宋体" w:cs="Times New Roman"/>
                <w:sz w:val="22"/>
                <w:szCs w:val="28"/>
              </w:rPr>
            </w:pPr>
          </w:p>
        </w:tc>
        <w:tc>
          <w:tcPr>
            <w:tcW w:w="1032" w:type="pct"/>
            <w:vMerge w:val="continue"/>
            <w:vAlign w:val="center"/>
          </w:tcPr>
          <w:p w14:paraId="591E6D44">
            <w:pPr>
              <w:jc w:val="center"/>
              <w:rPr>
                <w:rFonts w:hint="default" w:ascii="Times New Roman" w:hAnsi="Times New Roman" w:eastAsia="宋体" w:cs="Times New Roman"/>
                <w:sz w:val="22"/>
                <w:szCs w:val="28"/>
              </w:rPr>
            </w:pPr>
          </w:p>
        </w:tc>
        <w:tc>
          <w:tcPr>
            <w:tcW w:w="845" w:type="pct"/>
            <w:vAlign w:val="center"/>
          </w:tcPr>
          <w:p w14:paraId="1228FD90">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书袋带</w:t>
            </w:r>
          </w:p>
        </w:tc>
        <w:tc>
          <w:tcPr>
            <w:tcW w:w="1345" w:type="pct"/>
            <w:vAlign w:val="center"/>
          </w:tcPr>
          <w:p w14:paraId="59C17D63">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QB/T 2858—2007</w:t>
            </w:r>
          </w:p>
        </w:tc>
        <w:tc>
          <w:tcPr>
            <w:tcW w:w="1346" w:type="pct"/>
            <w:vMerge w:val="continue"/>
            <w:vAlign w:val="center"/>
          </w:tcPr>
          <w:p w14:paraId="48141736">
            <w:pPr>
              <w:jc w:val="center"/>
              <w:rPr>
                <w:rFonts w:hint="default" w:ascii="Times New Roman" w:hAnsi="Times New Roman" w:eastAsia="宋体" w:cs="Times New Roman"/>
                <w:sz w:val="22"/>
                <w:szCs w:val="28"/>
              </w:rPr>
            </w:pPr>
          </w:p>
        </w:tc>
      </w:tr>
      <w:tr w14:paraId="566D3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9" w:type="pct"/>
            <w:vMerge w:val="continue"/>
            <w:vAlign w:val="center"/>
          </w:tcPr>
          <w:p w14:paraId="195EA95E">
            <w:pPr>
              <w:jc w:val="center"/>
              <w:rPr>
                <w:rFonts w:hint="default" w:ascii="Times New Roman" w:hAnsi="Times New Roman" w:eastAsia="宋体" w:cs="Times New Roman"/>
                <w:sz w:val="22"/>
                <w:szCs w:val="28"/>
              </w:rPr>
            </w:pPr>
          </w:p>
        </w:tc>
        <w:tc>
          <w:tcPr>
            <w:tcW w:w="1032" w:type="pct"/>
            <w:vMerge w:val="continue"/>
            <w:vAlign w:val="center"/>
          </w:tcPr>
          <w:p w14:paraId="0B3B3D42">
            <w:pPr>
              <w:jc w:val="center"/>
              <w:rPr>
                <w:rFonts w:hint="default" w:ascii="Times New Roman" w:hAnsi="Times New Roman" w:eastAsia="宋体" w:cs="Times New Roman"/>
                <w:sz w:val="22"/>
                <w:szCs w:val="28"/>
              </w:rPr>
            </w:pPr>
          </w:p>
        </w:tc>
        <w:tc>
          <w:tcPr>
            <w:tcW w:w="845" w:type="pct"/>
            <w:vAlign w:val="center"/>
          </w:tcPr>
          <w:p w14:paraId="54BE2181">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提把</w:t>
            </w:r>
          </w:p>
        </w:tc>
        <w:tc>
          <w:tcPr>
            <w:tcW w:w="1345" w:type="pct"/>
            <w:vAlign w:val="center"/>
          </w:tcPr>
          <w:p w14:paraId="07431F85">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QB/T 2858—2007</w:t>
            </w:r>
          </w:p>
        </w:tc>
        <w:tc>
          <w:tcPr>
            <w:tcW w:w="1346" w:type="pct"/>
            <w:vMerge w:val="continue"/>
            <w:vAlign w:val="center"/>
          </w:tcPr>
          <w:p w14:paraId="37EC7B26">
            <w:pPr>
              <w:jc w:val="center"/>
              <w:rPr>
                <w:rFonts w:hint="default" w:ascii="Times New Roman" w:hAnsi="Times New Roman" w:eastAsia="宋体" w:cs="Times New Roman"/>
                <w:sz w:val="22"/>
                <w:szCs w:val="28"/>
              </w:rPr>
            </w:pPr>
          </w:p>
        </w:tc>
      </w:tr>
      <w:tr w14:paraId="2C35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9" w:type="pct"/>
            <w:vAlign w:val="center"/>
          </w:tcPr>
          <w:p w14:paraId="32DFD9BC">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5</w:t>
            </w:r>
          </w:p>
        </w:tc>
        <w:tc>
          <w:tcPr>
            <w:tcW w:w="1877" w:type="pct"/>
            <w:gridSpan w:val="2"/>
            <w:vAlign w:val="center"/>
          </w:tcPr>
          <w:p w14:paraId="59117456">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可迁移元素的限量</w:t>
            </w:r>
          </w:p>
        </w:tc>
        <w:tc>
          <w:tcPr>
            <w:tcW w:w="1345" w:type="pct"/>
            <w:vAlign w:val="center"/>
          </w:tcPr>
          <w:p w14:paraId="54A6665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21027—2020</w:t>
            </w:r>
          </w:p>
        </w:tc>
        <w:tc>
          <w:tcPr>
            <w:tcW w:w="1346" w:type="pct"/>
            <w:vAlign w:val="center"/>
          </w:tcPr>
          <w:p w14:paraId="48B9391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6675.4—2014</w:t>
            </w:r>
          </w:p>
        </w:tc>
      </w:tr>
      <w:tr w14:paraId="317DD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9" w:type="pct"/>
            <w:vAlign w:val="center"/>
          </w:tcPr>
          <w:p w14:paraId="48AA7B2D">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6</w:t>
            </w:r>
          </w:p>
        </w:tc>
        <w:tc>
          <w:tcPr>
            <w:tcW w:w="1877" w:type="pct"/>
            <w:gridSpan w:val="2"/>
            <w:vAlign w:val="center"/>
          </w:tcPr>
          <w:p w14:paraId="639167D0">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游离甲醛含量</w:t>
            </w:r>
          </w:p>
        </w:tc>
        <w:tc>
          <w:tcPr>
            <w:tcW w:w="1345" w:type="pct"/>
            <w:vAlign w:val="center"/>
          </w:tcPr>
          <w:p w14:paraId="598EFC05">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21027—2020</w:t>
            </w:r>
          </w:p>
        </w:tc>
        <w:tc>
          <w:tcPr>
            <w:tcW w:w="1346" w:type="pct"/>
            <w:vAlign w:val="center"/>
          </w:tcPr>
          <w:p w14:paraId="54809BA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32606—2016</w:t>
            </w:r>
          </w:p>
        </w:tc>
      </w:tr>
      <w:tr w14:paraId="3B392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9" w:type="pct"/>
            <w:vAlign w:val="center"/>
          </w:tcPr>
          <w:p w14:paraId="0A3C61C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7</w:t>
            </w:r>
          </w:p>
        </w:tc>
        <w:tc>
          <w:tcPr>
            <w:tcW w:w="1877" w:type="pct"/>
            <w:gridSpan w:val="2"/>
            <w:vAlign w:val="center"/>
          </w:tcPr>
          <w:p w14:paraId="00E61A0D">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可分解有害芳香胺染料</w:t>
            </w:r>
          </w:p>
        </w:tc>
        <w:tc>
          <w:tcPr>
            <w:tcW w:w="1345" w:type="pct"/>
            <w:vAlign w:val="center"/>
          </w:tcPr>
          <w:p w14:paraId="0C0DDF8A">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21027—2020</w:t>
            </w:r>
          </w:p>
        </w:tc>
        <w:tc>
          <w:tcPr>
            <w:tcW w:w="1346" w:type="pct"/>
            <w:vAlign w:val="center"/>
          </w:tcPr>
          <w:p w14:paraId="473C6AC5">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17592—2024</w:t>
            </w:r>
          </w:p>
          <w:p w14:paraId="5FC38063">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23344—2009</w:t>
            </w:r>
          </w:p>
        </w:tc>
      </w:tr>
      <w:tr w14:paraId="79889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9" w:type="pct"/>
            <w:vAlign w:val="center"/>
          </w:tcPr>
          <w:p w14:paraId="2638BD8C">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8</w:t>
            </w:r>
          </w:p>
        </w:tc>
        <w:tc>
          <w:tcPr>
            <w:tcW w:w="1877" w:type="pct"/>
            <w:gridSpan w:val="2"/>
            <w:vAlign w:val="center"/>
          </w:tcPr>
          <w:p w14:paraId="607D9DF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可触及的塑料件中邻苯二甲酸酯</w:t>
            </w:r>
          </w:p>
          <w:p w14:paraId="5038F61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增塑剂的限量</w:t>
            </w:r>
          </w:p>
        </w:tc>
        <w:tc>
          <w:tcPr>
            <w:tcW w:w="1345" w:type="pct"/>
            <w:vAlign w:val="center"/>
          </w:tcPr>
          <w:p w14:paraId="497B5EEF">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21027—2020</w:t>
            </w:r>
          </w:p>
        </w:tc>
        <w:tc>
          <w:tcPr>
            <w:tcW w:w="1346" w:type="pct"/>
            <w:vAlign w:val="center"/>
          </w:tcPr>
          <w:p w14:paraId="14896BDD">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22048—2022</w:t>
            </w:r>
          </w:p>
        </w:tc>
      </w:tr>
    </w:tbl>
    <w:p w14:paraId="076608D1">
      <w:pPr>
        <w:jc w:val="center"/>
        <w:rPr>
          <w:rFonts w:hint="default" w:ascii="Times New Roman" w:hAnsi="Times New Roman" w:eastAsia="宋体" w:cs="Times New Roman"/>
          <w:sz w:val="22"/>
          <w:szCs w:val="28"/>
        </w:rPr>
      </w:pPr>
    </w:p>
    <w:p w14:paraId="58552D1F">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表16 学生书包（背提包）</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3405"/>
        <w:gridCol w:w="2439"/>
        <w:gridCol w:w="2440"/>
      </w:tblGrid>
      <w:tr w14:paraId="24FFC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29" w:type="pct"/>
            <w:vAlign w:val="center"/>
          </w:tcPr>
          <w:p w14:paraId="414526F5">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序号</w:t>
            </w:r>
          </w:p>
        </w:tc>
        <w:tc>
          <w:tcPr>
            <w:tcW w:w="1879" w:type="pct"/>
            <w:vAlign w:val="center"/>
          </w:tcPr>
          <w:p w14:paraId="63A6D5D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检验项目</w:t>
            </w:r>
          </w:p>
        </w:tc>
        <w:tc>
          <w:tcPr>
            <w:tcW w:w="1346" w:type="pct"/>
          </w:tcPr>
          <w:p w14:paraId="493116D3">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检验依据</w:t>
            </w:r>
          </w:p>
        </w:tc>
        <w:tc>
          <w:tcPr>
            <w:tcW w:w="1346" w:type="pct"/>
            <w:vAlign w:val="center"/>
          </w:tcPr>
          <w:p w14:paraId="07B74F7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检验方法</w:t>
            </w:r>
          </w:p>
        </w:tc>
      </w:tr>
      <w:tr w14:paraId="24B51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429" w:type="pct"/>
            <w:vAlign w:val="center"/>
          </w:tcPr>
          <w:p w14:paraId="066E2504">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w:t>
            </w:r>
          </w:p>
        </w:tc>
        <w:tc>
          <w:tcPr>
            <w:tcW w:w="1879" w:type="pct"/>
            <w:vAlign w:val="center"/>
          </w:tcPr>
          <w:p w14:paraId="2540884F">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振荡冲击性能</w:t>
            </w:r>
          </w:p>
        </w:tc>
        <w:tc>
          <w:tcPr>
            <w:tcW w:w="1346" w:type="pct"/>
            <w:vAlign w:val="center"/>
          </w:tcPr>
          <w:p w14:paraId="456BDD0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QB/T 1333—2018</w:t>
            </w:r>
          </w:p>
        </w:tc>
        <w:tc>
          <w:tcPr>
            <w:tcW w:w="1346" w:type="pct"/>
            <w:vAlign w:val="center"/>
          </w:tcPr>
          <w:p w14:paraId="69D376DB">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QB/T 2922—2018</w:t>
            </w:r>
          </w:p>
          <w:p w14:paraId="36242700">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QB/T 5083—2017 B法</w:t>
            </w:r>
          </w:p>
          <w:p w14:paraId="3A0F2D2C">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QB/T 1333—2018</w:t>
            </w:r>
          </w:p>
        </w:tc>
      </w:tr>
      <w:tr w14:paraId="7D6CB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9" w:type="pct"/>
            <w:vAlign w:val="center"/>
          </w:tcPr>
          <w:p w14:paraId="13087416">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w:t>
            </w:r>
          </w:p>
        </w:tc>
        <w:tc>
          <w:tcPr>
            <w:tcW w:w="1879" w:type="pct"/>
            <w:vAlign w:val="center"/>
          </w:tcPr>
          <w:p w14:paraId="3F62B62F">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缝合强度</w:t>
            </w:r>
          </w:p>
        </w:tc>
        <w:tc>
          <w:tcPr>
            <w:tcW w:w="1346" w:type="pct"/>
            <w:vAlign w:val="center"/>
          </w:tcPr>
          <w:p w14:paraId="1B496DCB">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QB/T 1333—2018</w:t>
            </w:r>
          </w:p>
        </w:tc>
        <w:tc>
          <w:tcPr>
            <w:tcW w:w="1346" w:type="pct"/>
            <w:vAlign w:val="center"/>
          </w:tcPr>
          <w:p w14:paraId="6EB1D49F">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QB/T 1333—2018</w:t>
            </w:r>
          </w:p>
        </w:tc>
      </w:tr>
      <w:tr w14:paraId="67D10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9" w:type="pct"/>
            <w:vAlign w:val="center"/>
          </w:tcPr>
          <w:p w14:paraId="4EB00457">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w:t>
            </w:r>
          </w:p>
        </w:tc>
        <w:tc>
          <w:tcPr>
            <w:tcW w:w="1879" w:type="pct"/>
            <w:vAlign w:val="center"/>
          </w:tcPr>
          <w:p w14:paraId="14406B8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可迁移元素的限量</w:t>
            </w:r>
          </w:p>
        </w:tc>
        <w:tc>
          <w:tcPr>
            <w:tcW w:w="1346" w:type="pct"/>
            <w:vAlign w:val="center"/>
          </w:tcPr>
          <w:p w14:paraId="79A6CBBB">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21027—2020</w:t>
            </w:r>
          </w:p>
        </w:tc>
        <w:tc>
          <w:tcPr>
            <w:tcW w:w="1346" w:type="pct"/>
            <w:vAlign w:val="center"/>
          </w:tcPr>
          <w:p w14:paraId="7F6AC077">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6675.4—2014</w:t>
            </w:r>
          </w:p>
        </w:tc>
      </w:tr>
      <w:tr w14:paraId="2024E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9" w:type="pct"/>
            <w:vAlign w:val="center"/>
          </w:tcPr>
          <w:p w14:paraId="621B9C20">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4</w:t>
            </w:r>
          </w:p>
        </w:tc>
        <w:tc>
          <w:tcPr>
            <w:tcW w:w="1879" w:type="pct"/>
            <w:vAlign w:val="center"/>
          </w:tcPr>
          <w:p w14:paraId="45AA8824">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游离甲醛含量</w:t>
            </w:r>
          </w:p>
        </w:tc>
        <w:tc>
          <w:tcPr>
            <w:tcW w:w="1346" w:type="pct"/>
            <w:vAlign w:val="center"/>
          </w:tcPr>
          <w:p w14:paraId="6A3AEEE7">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21027—2020</w:t>
            </w:r>
          </w:p>
        </w:tc>
        <w:tc>
          <w:tcPr>
            <w:tcW w:w="1346" w:type="pct"/>
            <w:vAlign w:val="center"/>
          </w:tcPr>
          <w:p w14:paraId="663E89C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32606—2016</w:t>
            </w:r>
          </w:p>
          <w:p w14:paraId="59E51A4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19941.1—2019</w:t>
            </w:r>
          </w:p>
        </w:tc>
      </w:tr>
      <w:tr w14:paraId="07B29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9" w:type="pct"/>
            <w:vAlign w:val="center"/>
          </w:tcPr>
          <w:p w14:paraId="512C3111">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5</w:t>
            </w:r>
          </w:p>
        </w:tc>
        <w:tc>
          <w:tcPr>
            <w:tcW w:w="1879" w:type="pct"/>
            <w:vAlign w:val="center"/>
          </w:tcPr>
          <w:p w14:paraId="2F69B67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可分解有害芳香胺染料</w:t>
            </w:r>
          </w:p>
        </w:tc>
        <w:tc>
          <w:tcPr>
            <w:tcW w:w="1346" w:type="pct"/>
            <w:vAlign w:val="center"/>
          </w:tcPr>
          <w:p w14:paraId="4BB1967D">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21027—2020</w:t>
            </w:r>
          </w:p>
        </w:tc>
        <w:tc>
          <w:tcPr>
            <w:tcW w:w="1346" w:type="pct"/>
            <w:vAlign w:val="center"/>
          </w:tcPr>
          <w:p w14:paraId="3E94797F">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17592—2024</w:t>
            </w:r>
          </w:p>
          <w:p w14:paraId="480AA55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23344—2009</w:t>
            </w:r>
          </w:p>
          <w:p w14:paraId="6B5BED3F">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19942—2019</w:t>
            </w:r>
          </w:p>
        </w:tc>
      </w:tr>
      <w:tr w14:paraId="39DA3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9" w:type="pct"/>
            <w:vAlign w:val="center"/>
          </w:tcPr>
          <w:p w14:paraId="0A92F48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6</w:t>
            </w:r>
          </w:p>
        </w:tc>
        <w:tc>
          <w:tcPr>
            <w:tcW w:w="1879" w:type="pct"/>
            <w:vAlign w:val="center"/>
          </w:tcPr>
          <w:p w14:paraId="3546BD75">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可触及的塑料件中邻苯二甲酸酯</w:t>
            </w:r>
          </w:p>
          <w:p w14:paraId="4BCD24D3">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增塑剂的限量</w:t>
            </w:r>
          </w:p>
        </w:tc>
        <w:tc>
          <w:tcPr>
            <w:tcW w:w="1346" w:type="pct"/>
            <w:vAlign w:val="center"/>
          </w:tcPr>
          <w:p w14:paraId="0A9BC5AB">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21027—2020</w:t>
            </w:r>
          </w:p>
        </w:tc>
        <w:tc>
          <w:tcPr>
            <w:tcW w:w="1346" w:type="pct"/>
            <w:vAlign w:val="center"/>
          </w:tcPr>
          <w:p w14:paraId="346158AB">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22048—2022</w:t>
            </w:r>
          </w:p>
        </w:tc>
      </w:tr>
    </w:tbl>
    <w:p w14:paraId="6BAEA1EE">
      <w:pPr>
        <w:snapToGrid w:val="0"/>
        <w:spacing w:line="240" w:lineRule="auto"/>
        <w:ind w:firstLine="420" w:firstLineChars="200"/>
        <w:rPr>
          <w:rFonts w:hint="default" w:ascii="Times New Roman" w:hAnsi="Times New Roman" w:eastAsia="宋体" w:cs="Times New Roman"/>
          <w:color w:val="000000"/>
          <w:szCs w:val="21"/>
        </w:rPr>
      </w:pPr>
    </w:p>
    <w:p w14:paraId="20BB72B1">
      <w:pPr>
        <w:snapToGrid w:val="0"/>
        <w:spacing w:line="440" w:lineRule="exact"/>
        <w:ind w:firstLine="420" w:firstLineChars="200"/>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执行企业标准、团体标准、地方标准的产品，检验项目参照上述内容执行。</w:t>
      </w:r>
    </w:p>
    <w:p w14:paraId="3458E6BA">
      <w:pPr>
        <w:snapToGrid w:val="0"/>
        <w:spacing w:line="440" w:lineRule="exact"/>
        <w:ind w:firstLine="420" w:firstLineChars="200"/>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凡是注日期的文件，其随后所有的修改单（不包括勘误的内容）或修订版不适用于本细则。凡是不注日期的文件，其最新版本适用于本细则。</w:t>
      </w:r>
    </w:p>
    <w:p w14:paraId="29264278">
      <w:pPr>
        <w:spacing w:line="240" w:lineRule="auto"/>
        <w:ind w:firstLine="440" w:firstLineChars="200"/>
        <w:rPr>
          <w:rFonts w:hint="default" w:ascii="Times New Roman" w:hAnsi="Times New Roman" w:eastAsia="宋体" w:cs="Times New Roman"/>
          <w:sz w:val="22"/>
          <w:szCs w:val="28"/>
        </w:rPr>
      </w:pPr>
    </w:p>
    <w:p w14:paraId="52958552">
      <w:pPr>
        <w:spacing w:line="520" w:lineRule="exact"/>
        <w:rPr>
          <w:rFonts w:hint="default" w:ascii="Times New Roman" w:hAnsi="Times New Roman" w:eastAsia="宋体" w:cs="Times New Roman"/>
          <w:sz w:val="22"/>
          <w:szCs w:val="28"/>
        </w:rPr>
      </w:pPr>
      <w:r>
        <w:rPr>
          <w:rFonts w:hint="default" w:ascii="Times New Roman" w:hAnsi="Times New Roman" w:eastAsia="黑体" w:cs="Times New Roman"/>
          <w:sz w:val="22"/>
          <w:szCs w:val="28"/>
        </w:rPr>
        <w:t>3 判定规则</w:t>
      </w:r>
    </w:p>
    <w:p w14:paraId="6102E6FE">
      <w:pPr>
        <w:spacing w:line="520" w:lineRule="exact"/>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3.1 依据标准</w:t>
      </w:r>
    </w:p>
    <w:p w14:paraId="72C5A58A">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21027—2020学生用品的安全通用要求</w:t>
      </w:r>
    </w:p>
    <w:p w14:paraId="3D727003">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40070—2021 儿童青少年学习用品近视防控卫生要求</w:t>
      </w:r>
    </w:p>
    <w:p w14:paraId="1421A94B">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QB/T 1333—2018 背提包</w:t>
      </w:r>
    </w:p>
    <w:p w14:paraId="1C448BA9">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QB/T 2858—2007 学生书袋</w:t>
      </w:r>
    </w:p>
    <w:p w14:paraId="63E533F7">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现行有效的企业标准、团体标准、地方标准及产品明示质量要求</w:t>
      </w:r>
    </w:p>
    <w:p w14:paraId="60CEF155">
      <w:pPr>
        <w:spacing w:line="520" w:lineRule="exact"/>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3.2 判定原则</w:t>
      </w:r>
    </w:p>
    <w:p w14:paraId="746656F8">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经检验，检验项目全部合格，判定为被抽查产品所检项目未发现不合格；检验项目中任一项或一项以上不合格，判定为被抽查产品不合格。</w:t>
      </w:r>
    </w:p>
    <w:p w14:paraId="7F5309AE">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若被检产品明示的质量要求高于本细则中检验项目依据的标准要求时，应按被检产品明示的质量要求判定。</w:t>
      </w:r>
    </w:p>
    <w:p w14:paraId="20D9221E">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若被检产品明示的质量要求低于本细则中检验项目依据的强制性标准要求时，应按照强制性标准要求判定。</w:t>
      </w:r>
    </w:p>
    <w:p w14:paraId="30C01436">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若被检产品明示的质量要求低于或包含本细则中检验项目依据的推荐性标准要求时，应以被检产品明示的质量要求判定。</w:t>
      </w:r>
    </w:p>
    <w:p w14:paraId="17989193">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若被检产品明示的质量要求缺少本细则中检验项目依据的强制性标准要求时，应按照强制性标准要求判定。</w:t>
      </w:r>
    </w:p>
    <w:p w14:paraId="0EFC1735">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若被检产品明示的质量要求缺少本细则中检验项目依据的推荐性标准要求时，该项目不参与判定。</w:t>
      </w: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3FA70">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14F9CEB">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14F9CEB">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B8B"/>
    <w:rsid w:val="00050152"/>
    <w:rsid w:val="000D5AE9"/>
    <w:rsid w:val="001064C6"/>
    <w:rsid w:val="00180FED"/>
    <w:rsid w:val="003656E8"/>
    <w:rsid w:val="00383A78"/>
    <w:rsid w:val="00504037"/>
    <w:rsid w:val="006059ED"/>
    <w:rsid w:val="009326DE"/>
    <w:rsid w:val="00967AEE"/>
    <w:rsid w:val="00B8060E"/>
    <w:rsid w:val="00B8629F"/>
    <w:rsid w:val="00C26A30"/>
    <w:rsid w:val="00C56686"/>
    <w:rsid w:val="00C73500"/>
    <w:rsid w:val="00DD4B8B"/>
    <w:rsid w:val="00DF7794"/>
    <w:rsid w:val="00EF2F33"/>
    <w:rsid w:val="00FB539F"/>
    <w:rsid w:val="00FC7386"/>
    <w:rsid w:val="02551A35"/>
    <w:rsid w:val="036455F8"/>
    <w:rsid w:val="06E03F13"/>
    <w:rsid w:val="070E6657"/>
    <w:rsid w:val="0CD143AE"/>
    <w:rsid w:val="0D343503"/>
    <w:rsid w:val="13144FF5"/>
    <w:rsid w:val="149E7B87"/>
    <w:rsid w:val="156C55BC"/>
    <w:rsid w:val="1E7B23CC"/>
    <w:rsid w:val="222A1341"/>
    <w:rsid w:val="223A3000"/>
    <w:rsid w:val="29B570DA"/>
    <w:rsid w:val="2B4863B8"/>
    <w:rsid w:val="2B830B12"/>
    <w:rsid w:val="2E5977D4"/>
    <w:rsid w:val="2E8C4181"/>
    <w:rsid w:val="2ED81174"/>
    <w:rsid w:val="38A81BB8"/>
    <w:rsid w:val="408E5B37"/>
    <w:rsid w:val="42C54070"/>
    <w:rsid w:val="43081BD1"/>
    <w:rsid w:val="439E0D9F"/>
    <w:rsid w:val="4571310F"/>
    <w:rsid w:val="46050649"/>
    <w:rsid w:val="46F26E20"/>
    <w:rsid w:val="470C0994"/>
    <w:rsid w:val="48797678"/>
    <w:rsid w:val="4C6D02BD"/>
    <w:rsid w:val="4E227B86"/>
    <w:rsid w:val="4E3A2F69"/>
    <w:rsid w:val="523C53F3"/>
    <w:rsid w:val="534D3EB1"/>
    <w:rsid w:val="585338F8"/>
    <w:rsid w:val="58705DF6"/>
    <w:rsid w:val="592E4311"/>
    <w:rsid w:val="649B4036"/>
    <w:rsid w:val="68932257"/>
    <w:rsid w:val="6E79418D"/>
    <w:rsid w:val="6FD607DD"/>
    <w:rsid w:val="6FF46EB5"/>
    <w:rsid w:val="71BA4C42"/>
    <w:rsid w:val="737C0D9D"/>
    <w:rsid w:val="73C038EC"/>
    <w:rsid w:val="74422159"/>
    <w:rsid w:val="77062301"/>
    <w:rsid w:val="7947444E"/>
    <w:rsid w:val="799A287B"/>
    <w:rsid w:val="7C093CE8"/>
    <w:rsid w:val="7F8873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935</Words>
  <Characters>1443</Characters>
  <Lines>29</Lines>
  <Paragraphs>8</Paragraphs>
  <TotalTime>16</TotalTime>
  <ScaleCrop>false</ScaleCrop>
  <LinksUpToDate>false</LinksUpToDate>
  <CharactersWithSpaces>1502</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2026-04-30T06:38:00Z</dcterms:created>
  <dc:creator>JinweiJia</dc:creator>
  <cp:lastModifiedBy>zw</cp:lastModifiedBy>
  <dcterms:modified xsi:type="dcterms:W3CDTF">2026-07-14T08:38:53Z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3F457A40E2B141A1BF269D58DEBEEA9F_13</vt:lpwstr>
  </property>
  <property fmtid="{D5CDD505-2E9C-101B-9397-08002B2CF9AE}" pid="4" name="KSOTemplateDocerSaveRecord">
    <vt:lpwstr>eyJoZGlkIjoiYjU4YTEyOWI0YTA1NzExMDUyM2E4NzRjZjM1MmQ2OWEiLCJ1c2VySWQiOiIxMTI2NTcyODI0In0=</vt:lpwstr>
  </property>
</Properties>
</file>